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D099" w14:textId="77777777" w:rsidR="00275DBD" w:rsidRPr="00275DBD" w:rsidRDefault="00861641" w:rsidP="004C41F7">
      <w:pPr>
        <w:pStyle w:val="brTitel"/>
      </w:pPr>
      <w:bookmarkStart w:id="0" w:name="_GoBack"/>
      <w:bookmarkEnd w:id="0"/>
      <w:r w:rsidRPr="00275DBD">
        <w:br/>
      </w:r>
      <w:r w:rsidR="00F9496B">
        <w:t>Manuskriptlei</w:t>
      </w:r>
      <w:r w:rsidR="00640F39" w:rsidRPr="00275DBD">
        <w:t>tlinien</w:t>
      </w:r>
      <w:r w:rsidR="00640F39" w:rsidRPr="00275DBD">
        <w:br/>
      </w:r>
      <w:proofErr w:type="spellStart"/>
      <w:r w:rsidR="00640F39" w:rsidRPr="00275DBD">
        <w:rPr>
          <w:i/>
        </w:rPr>
        <w:t>Bunron</w:t>
      </w:r>
      <w:proofErr w:type="spellEnd"/>
      <w:r w:rsidR="00640F39" w:rsidRPr="00275DBD">
        <w:t xml:space="preserve"> – Zeitschrift für literatur-</w:t>
      </w:r>
      <w:r w:rsidR="00640F39" w:rsidRPr="00275DBD">
        <w:br/>
        <w:t>wissenschaftliche Japanforschung</w:t>
      </w:r>
    </w:p>
    <w:p w14:paraId="65E86CC6" w14:textId="77777777" w:rsidR="00275DBD" w:rsidRPr="00275DBD" w:rsidRDefault="00275DBD" w:rsidP="00275DBD">
      <w:pPr>
        <w:spacing w:after="0" w:line="240" w:lineRule="auto"/>
        <w:jc w:val="center"/>
      </w:pPr>
    </w:p>
    <w:p w14:paraId="20A1D70D" w14:textId="77777777" w:rsidR="001327F9" w:rsidRPr="00275DBD" w:rsidRDefault="00640F39" w:rsidP="002E5208">
      <w:pPr>
        <w:pStyle w:val="brAutor"/>
      </w:pPr>
      <w:proofErr w:type="spellStart"/>
      <w:r w:rsidRPr="00275DBD">
        <w:rPr>
          <w:i/>
        </w:rPr>
        <w:t>Bunron</w:t>
      </w:r>
      <w:proofErr w:type="spellEnd"/>
      <w:r w:rsidRPr="00275DBD">
        <w:t>-</w:t>
      </w:r>
      <w:r w:rsidRPr="002E5208">
        <w:t>Redaktion</w:t>
      </w:r>
      <w:r w:rsidR="001327F9" w:rsidRPr="00275DBD">
        <w:t xml:space="preserve"> (Heidelberg)</w:t>
      </w:r>
    </w:p>
    <w:p w14:paraId="7BC3CF82" w14:textId="77777777" w:rsidR="00C63E6B" w:rsidRPr="0053292A" w:rsidRDefault="00C63E6B" w:rsidP="0053292A">
      <w:pPr>
        <w:pStyle w:val="brberschriftEbene1ohneNummerierung"/>
      </w:pPr>
      <w:r w:rsidRPr="0053292A">
        <w:t>Abstract</w:t>
      </w:r>
    </w:p>
    <w:p w14:paraId="21FC9A80" w14:textId="77777777" w:rsidR="009D5AF1" w:rsidRDefault="00585366" w:rsidP="00E02F76">
      <w:pPr>
        <w:pStyle w:val="brAbstractAbsatz1"/>
      </w:pPr>
      <w:r w:rsidRPr="0014215D">
        <w:t xml:space="preserve">Diese Leitlinien enthalten die Regelungen für die </w:t>
      </w:r>
      <w:r w:rsidRPr="009D5AF1">
        <w:t>Erstellung</w:t>
      </w:r>
      <w:r w:rsidRPr="0014215D">
        <w:t xml:space="preserve"> von Manuskripten für die elektronische Zeitschrift „</w:t>
      </w:r>
      <w:proofErr w:type="spellStart"/>
      <w:r w:rsidRPr="0014215D">
        <w:rPr>
          <w:i/>
        </w:rPr>
        <w:t>Bunron</w:t>
      </w:r>
      <w:proofErr w:type="spellEnd"/>
      <w:r w:rsidRPr="0014215D">
        <w:t xml:space="preserve"> – Zeitschrift für literaturwissenschaftliche Japan</w:t>
      </w:r>
      <w:r w:rsidR="00974831">
        <w:t>-</w:t>
      </w:r>
      <w:r w:rsidRPr="0014215D">
        <w:t>forschung“ und dienen gleichzeitig als Dokumentvorlage</w:t>
      </w:r>
      <w:r w:rsidR="00CC5B2F" w:rsidRPr="0014215D">
        <w:t>.</w:t>
      </w:r>
    </w:p>
    <w:p w14:paraId="72BFE61B" w14:textId="77777777" w:rsidR="006968AE" w:rsidRPr="006968AE" w:rsidRDefault="006968AE" w:rsidP="00143128">
      <w:pPr>
        <w:pStyle w:val="brberschriftEbene1ohneNummerierung"/>
      </w:pPr>
      <w:r w:rsidRPr="00143128">
        <w:t>Vorbemerkung</w:t>
      </w:r>
    </w:p>
    <w:p w14:paraId="46EB9032" w14:textId="77777777" w:rsidR="007319C3" w:rsidRPr="00974831" w:rsidRDefault="006968AE" w:rsidP="00143128">
      <w:pPr>
        <w:pStyle w:val="brHaupttextlateinischAbsatz1"/>
      </w:pPr>
      <w:r w:rsidRPr="006968AE">
        <w:t>Die nachstehenden Leitlinien sind verbindliche Regelungen für die Erstellung von Manuskripten für die elektronische Zeitschrift „</w:t>
      </w:r>
      <w:proofErr w:type="spellStart"/>
      <w:r w:rsidRPr="006968AE">
        <w:rPr>
          <w:i/>
        </w:rPr>
        <w:t>Bunron</w:t>
      </w:r>
      <w:proofErr w:type="spellEnd"/>
      <w:r w:rsidRPr="006968AE">
        <w:t xml:space="preserve"> – Zeitschrift für literatur</w:t>
      </w:r>
      <w:r w:rsidR="00974831">
        <w:t>-</w:t>
      </w:r>
      <w:r w:rsidRPr="006968AE">
        <w:t xml:space="preserve">wissenschaftliche Japanforschung“. Autorinnen und Autoren sind für ihre vollständige Umsetzung verantwortlich; erst im Anschluss daran ist eine weitere Bearbeitung durch die Redaktion möglich. Benutzen Sie diese Word-Datei gleichzeitig als Dokumentvorlage und behalten Sie die Formatierungen (Überschriften, Absätze und sämtliche Zeichen) bei. </w:t>
      </w:r>
      <w:r w:rsidR="0096075F" w:rsidRPr="0096075F">
        <w:t>Unter dem Menüpunkt „Formatvorlagen“ finden Sie eine Liste mit den entsprechenden Vorlagen, welche jeweils mit dem Kürzel „</w:t>
      </w:r>
      <w:proofErr w:type="spellStart"/>
      <w:r w:rsidR="0096075F" w:rsidRPr="0096075F">
        <w:t>br</w:t>
      </w:r>
      <w:proofErr w:type="spellEnd"/>
      <w:r w:rsidR="0096075F" w:rsidRPr="0096075F">
        <w:t>“ beginnen.</w:t>
      </w:r>
      <w:r w:rsidR="0096075F">
        <w:rPr>
          <w:color w:val="FF0000"/>
        </w:rPr>
        <w:t xml:space="preserve"> </w:t>
      </w:r>
      <w:r w:rsidR="00B069AF" w:rsidRPr="00B069AF">
        <w:t>Bitte verändern Sie nicht Kopf- und Fußzeile.</w:t>
      </w:r>
    </w:p>
    <w:p w14:paraId="5607A7B4" w14:textId="77777777" w:rsidR="00AC3ADB" w:rsidRPr="0053292A" w:rsidRDefault="005641A6" w:rsidP="0053292A">
      <w:pPr>
        <w:pStyle w:val="brberschriftEbene1mitNummerierungohneEbene2"/>
      </w:pPr>
      <w:bookmarkStart w:id="1" w:name="_Toc347000713"/>
      <w:bookmarkStart w:id="2" w:name="_Toc357575740"/>
      <w:bookmarkStart w:id="3" w:name="_Toc379738253"/>
      <w:r w:rsidRPr="0053292A">
        <w:t>Sprachen und Orthografie</w:t>
      </w:r>
      <w:bookmarkEnd w:id="1"/>
      <w:bookmarkEnd w:id="2"/>
      <w:bookmarkEnd w:id="3"/>
    </w:p>
    <w:p w14:paraId="7EB9808D" w14:textId="77777777" w:rsidR="005641A6" w:rsidRPr="00E13931" w:rsidRDefault="005641A6" w:rsidP="00143128">
      <w:pPr>
        <w:pStyle w:val="brHaupttextlateinischAbsatz1"/>
      </w:pPr>
      <w:r w:rsidRPr="00E13931">
        <w:t xml:space="preserve">Beiträge können in folgenden Sprachen eingereicht werden: Deutsch, Englisch, Französisch und Japanisch. Die Autorinnen und Autoren sollen für deutschsprachige </w:t>
      </w:r>
      <w:r w:rsidRPr="00A851E5">
        <w:t>Beiträge</w:t>
      </w:r>
      <w:r w:rsidRPr="00E13931">
        <w:t xml:space="preserve"> die neue deutsche Rechtschreibung benutzen.</w:t>
      </w:r>
    </w:p>
    <w:p w14:paraId="2D858B19" w14:textId="77777777" w:rsidR="005641A6" w:rsidRPr="00AC3ADB" w:rsidRDefault="005641A6" w:rsidP="0053292A">
      <w:pPr>
        <w:pStyle w:val="brberschriftEbene1mitNummerierungohneEbene2"/>
      </w:pPr>
      <w:bookmarkStart w:id="4" w:name="_Toc357575741"/>
      <w:bookmarkStart w:id="5" w:name="_Toc379738254"/>
      <w:bookmarkStart w:id="6" w:name="_Toc347000714"/>
      <w:r w:rsidRPr="00AC3ADB">
        <w:t>Rechtliche Fragen</w:t>
      </w:r>
      <w:bookmarkEnd w:id="4"/>
      <w:bookmarkEnd w:id="5"/>
    </w:p>
    <w:p w14:paraId="77360AE1" w14:textId="77777777" w:rsidR="005641A6" w:rsidRPr="00E13931" w:rsidRDefault="005641A6" w:rsidP="00143128">
      <w:pPr>
        <w:pStyle w:val="brHaupttextlateinischAbsatz1"/>
      </w:pPr>
      <w:r w:rsidRPr="00E13931">
        <w:t>Sämtliche Rechte an als Beitragsangebote eingereichten Manuskripten liegen bei den Autorinnen und Autoren. Die Rechte an veröffentlichten Beiträgen sind durch die Rahmen</w:t>
      </w:r>
      <w:r w:rsidR="00974831">
        <w:t>-</w:t>
      </w:r>
      <w:r w:rsidRPr="00E13931">
        <w:t>bedingungen der Zeitschrift geregelt.</w:t>
      </w:r>
    </w:p>
    <w:p w14:paraId="6F4C60E8" w14:textId="77777777" w:rsidR="005641A6" w:rsidRPr="00E13931" w:rsidRDefault="005641A6" w:rsidP="0053292A">
      <w:pPr>
        <w:pStyle w:val="brHaupttextlateinischAbsatz1"/>
      </w:pPr>
      <w:r w:rsidRPr="00E13931">
        <w:t xml:space="preserve">Die Autorinnen und Autoren sind verpflichtet, selbstständig für die Klärung der Rechte an Abbildungen zu sorgen sowie die eventuell notwendige Genehmigung durch Dritte </w:t>
      </w:r>
      <w:r w:rsidRPr="00E13931">
        <w:lastRenderedPageBreak/>
        <w:t xml:space="preserve">einzuholen und dies gegenüber der Redaktion zu dokumentieren. Die Redaktion der Zeitschrift </w:t>
      </w:r>
      <w:proofErr w:type="spellStart"/>
      <w:r w:rsidRPr="00E13931">
        <w:rPr>
          <w:i/>
        </w:rPr>
        <w:t>Bunron</w:t>
      </w:r>
      <w:proofErr w:type="spellEnd"/>
      <w:r w:rsidRPr="00E13931">
        <w:t xml:space="preserve"> übernimmt keine Verantwortung für Verstöße der Autorinnen und Autoren gegen das Urheberrecht. Sollten für die Genehmigung Kosten anfallen, bitten wir um Rücksprache mit der Redaktion.</w:t>
      </w:r>
    </w:p>
    <w:p w14:paraId="602E9832" w14:textId="77777777" w:rsidR="009B38B3" w:rsidRPr="009D5AF1" w:rsidRDefault="009B38B3" w:rsidP="0053292A">
      <w:pPr>
        <w:pStyle w:val="brberschriftEbene1mitNummerierungohneEbene2"/>
      </w:pPr>
      <w:r w:rsidRPr="009D5AF1">
        <w:t>Die Beitragseinreichung</w:t>
      </w:r>
    </w:p>
    <w:p w14:paraId="76919000" w14:textId="77777777" w:rsidR="009B38B3" w:rsidRPr="00E13931" w:rsidRDefault="009B38B3" w:rsidP="00143128">
      <w:pPr>
        <w:pStyle w:val="brHaupttextlateinischAbsatz1"/>
      </w:pPr>
      <w:r w:rsidRPr="00E13931">
        <w:t xml:space="preserve">Der Umfang von Beiträgen soll die Seitenzahl von 40 in der Regel nicht überschreiten. Für die Einreichung eines Beitragsangebotes ist das PDF-Format vorgesehen, für die </w:t>
      </w:r>
      <w:proofErr w:type="spellStart"/>
      <w:r w:rsidRPr="00E13931">
        <w:t>redaktio</w:t>
      </w:r>
      <w:r w:rsidR="00974831">
        <w:t>-</w:t>
      </w:r>
      <w:r w:rsidRPr="00E13931">
        <w:t>nelle</w:t>
      </w:r>
      <w:proofErr w:type="spellEnd"/>
      <w:r w:rsidRPr="00E13931">
        <w:t xml:space="preserve"> Bearbeitung angenommener Beiträge das Word-Format. </w:t>
      </w:r>
      <w:proofErr w:type="spellStart"/>
      <w:r w:rsidRPr="00E13931">
        <w:rPr>
          <w:rFonts w:eastAsia="Arial Unicode MS"/>
          <w:i/>
          <w:lang w:eastAsia="de-DE"/>
        </w:rPr>
        <w:t>Bunron</w:t>
      </w:r>
      <w:proofErr w:type="spellEnd"/>
      <w:r w:rsidRPr="00E13931">
        <w:rPr>
          <w:rFonts w:eastAsia="Arial Unicode MS"/>
          <w:lang w:eastAsia="de-DE"/>
        </w:rPr>
        <w:t xml:space="preserve"> speichert und protokolliert die verschiedenen Versionen der bearbeiteten Datei und hält sie für die Redaktion und die Autorinnen und Autoren zur Ansicht bereit. Damit Änderungen für alle Beteiligten nachvollziehbar bleiben, muss die Funktion „Änderungen nachverfolgen“ ab der ersten Version aktiviert und zu keinem Zeitpunkt deaktiviert werden. Bitte löschen Sie Kommentare auch nach deren Erledigung nicht. </w:t>
      </w:r>
      <w:r w:rsidRPr="00E13931">
        <w:t>Querverweise auf Fußnoten, Überschriften und Textmarken innerhalb Ihres Textes sollten dynamische Felder (zu generieren über das Word-Menü „Einfügen“) sein.</w:t>
      </w:r>
    </w:p>
    <w:p w14:paraId="494E4809" w14:textId="77777777" w:rsidR="00295F4F" w:rsidRDefault="009B38B3" w:rsidP="00143128">
      <w:pPr>
        <w:pStyle w:val="brHaupttextlateinischAbsatz2"/>
        <w:rPr>
          <w:lang w:eastAsia="de-DE"/>
        </w:rPr>
      </w:pPr>
      <w:r w:rsidRPr="00E13931">
        <w:rPr>
          <w:lang w:eastAsia="de-DE"/>
        </w:rPr>
        <w:t xml:space="preserve">Beim Hochladen Ihres Artikels fordert das System Sie auf, Ihr Literaturverzeichnis und Ihr Abstract in eines der vorgegebenen Felder zu kopieren. Dies </w:t>
      </w:r>
      <w:proofErr w:type="gramStart"/>
      <w:r w:rsidRPr="00E13931">
        <w:rPr>
          <w:lang w:eastAsia="de-DE"/>
        </w:rPr>
        <w:t>dient</w:t>
      </w:r>
      <w:proofErr w:type="gramEnd"/>
      <w:r w:rsidRPr="00E13931">
        <w:rPr>
          <w:lang w:eastAsia="de-DE"/>
        </w:rPr>
        <w:t xml:space="preserve"> der Archivierung und besseren Auffindbarkeit des Artikels. Löschen Sie Abstract und Literaturverzeichnis bei diesem Schritt nicht aus Ihrem Text, sondern kopieren Sie diese lediglich. Auf der Homepage finden Sie zudem eine Schritt-für-Schritt-Anleitung, welche die Registrierung und Beitragseinreichung </w:t>
      </w:r>
      <w:proofErr w:type="gramStart"/>
      <w:r w:rsidRPr="00E13931">
        <w:rPr>
          <w:lang w:eastAsia="de-DE"/>
        </w:rPr>
        <w:t>erläutert</w:t>
      </w:r>
      <w:proofErr w:type="gramEnd"/>
      <w:r w:rsidR="00295F4F">
        <w:rPr>
          <w:lang w:eastAsia="de-DE"/>
        </w:rPr>
        <w:t>.</w:t>
      </w:r>
      <w:r w:rsidR="008563A1">
        <w:rPr>
          <w:lang w:eastAsia="de-DE"/>
        </w:rPr>
        <w:t xml:space="preserve"> (Siehe „Über uns“, „Beitragseinreichung“, „Richtlinien“)</w:t>
      </w:r>
    </w:p>
    <w:p w14:paraId="5B2E5ACF" w14:textId="77777777" w:rsidR="009B38B3" w:rsidRPr="009D5AF1" w:rsidRDefault="009B38B3" w:rsidP="0053292A">
      <w:pPr>
        <w:pStyle w:val="brberschriftEbene1mitNummerierungohneEbene2"/>
      </w:pPr>
      <w:bookmarkStart w:id="7" w:name="_Toc347000715"/>
      <w:bookmarkStart w:id="8" w:name="_Toc357575743"/>
      <w:bookmarkStart w:id="9" w:name="_Toc379738256"/>
      <w:r w:rsidRPr="009D5AF1">
        <w:t>Inhaltliche Elemente eines Beitrages</w:t>
      </w:r>
      <w:bookmarkEnd w:id="7"/>
      <w:bookmarkEnd w:id="8"/>
      <w:bookmarkEnd w:id="9"/>
    </w:p>
    <w:p w14:paraId="1C5E935D" w14:textId="77777777" w:rsidR="009B38B3" w:rsidRPr="00541019" w:rsidRDefault="009B38B3" w:rsidP="00143128">
      <w:pPr>
        <w:pStyle w:val="brHaupttextlateinischAbsatz1"/>
      </w:pPr>
      <w:r w:rsidRPr="00541019">
        <w:t>Ein Beitrag soll grundsätzlich mindestens die folgenden Elemente in der nach</w:t>
      </w:r>
      <w:r w:rsidR="0014215D">
        <w:t>stehenden Reihenfolge enthalten:</w:t>
      </w:r>
    </w:p>
    <w:p w14:paraId="73481A4B" w14:textId="77777777" w:rsidR="009B38B3" w:rsidRPr="007A2966" w:rsidRDefault="009B38B3" w:rsidP="00E85B76">
      <w:pPr>
        <w:pStyle w:val="brListeEbene1ohneNummerierungElement1"/>
      </w:pPr>
      <w:r w:rsidRPr="007A2966">
        <w:t>Titel</w:t>
      </w:r>
    </w:p>
    <w:p w14:paraId="3025A256" w14:textId="77777777" w:rsidR="009B38B3" w:rsidRPr="00BA5C22" w:rsidRDefault="009B38B3" w:rsidP="00BA5C22">
      <w:pPr>
        <w:pStyle w:val="brListeEbene1ohneNummerierungElement2"/>
      </w:pPr>
      <w:r w:rsidRPr="00BA5C22">
        <w:t>Autorin / Autor (Ort)</w:t>
      </w:r>
    </w:p>
    <w:p w14:paraId="2ED19715" w14:textId="14F1F4F5" w:rsidR="009B38B3" w:rsidRPr="00BA5C22" w:rsidRDefault="009B38B3" w:rsidP="00BA5C22">
      <w:pPr>
        <w:pStyle w:val="brListeEbene1ohneNummerierungElement2"/>
      </w:pPr>
      <w:r w:rsidRPr="00BA5C22">
        <w:t>englisches Abstract</w:t>
      </w:r>
    </w:p>
    <w:p w14:paraId="399DD24D" w14:textId="77777777" w:rsidR="009B38B3" w:rsidRPr="00BA5C22" w:rsidRDefault="009B38B3" w:rsidP="00BA5C22">
      <w:pPr>
        <w:pStyle w:val="brListeEbene1ohneNummerierungElement2"/>
      </w:pPr>
      <w:r w:rsidRPr="00BA5C22">
        <w:t>Haupttext</w:t>
      </w:r>
    </w:p>
    <w:p w14:paraId="7699AD5C" w14:textId="77777777" w:rsidR="009B38B3" w:rsidRPr="00BA5C22" w:rsidRDefault="009B38B3" w:rsidP="00BA5C22">
      <w:pPr>
        <w:pStyle w:val="brListeEbene1ohneNummerierungElement2"/>
      </w:pPr>
      <w:r w:rsidRPr="00BA5C22">
        <w:t>Verzeichnisse</w:t>
      </w:r>
    </w:p>
    <w:p w14:paraId="009C9704" w14:textId="77777777" w:rsidR="009B38B3" w:rsidRPr="00541019" w:rsidRDefault="009B38B3" w:rsidP="008B6440">
      <w:pPr>
        <w:pStyle w:val="brListeEbene2ohneNummerierung"/>
      </w:pPr>
      <w:r w:rsidRPr="00541019">
        <w:t>Abkürzungsverzeichnis</w:t>
      </w:r>
    </w:p>
    <w:p w14:paraId="125A19D8" w14:textId="77777777" w:rsidR="009B38B3" w:rsidRPr="00541019" w:rsidRDefault="009B38B3" w:rsidP="008B6440">
      <w:pPr>
        <w:pStyle w:val="brListeEbene2ohneNummerierung"/>
      </w:pPr>
      <w:r w:rsidRPr="00541019">
        <w:t>Primärquellen</w:t>
      </w:r>
    </w:p>
    <w:p w14:paraId="259E3F73" w14:textId="77777777" w:rsidR="009B38B3" w:rsidRPr="00541019" w:rsidRDefault="009B38B3" w:rsidP="008B6440">
      <w:pPr>
        <w:pStyle w:val="brListeEbene2ohneNummerierung"/>
      </w:pPr>
      <w:r w:rsidRPr="00541019">
        <w:t>Sekundärquellen (Internetquellen getrennt aufgeführt)</w:t>
      </w:r>
    </w:p>
    <w:p w14:paraId="42F4E4CC" w14:textId="77777777" w:rsidR="009B38B3" w:rsidRPr="00541019" w:rsidRDefault="009B38B3" w:rsidP="00B069AF">
      <w:pPr>
        <w:pStyle w:val="brListeEbene2ohneNummerierung"/>
      </w:pPr>
      <w:r w:rsidRPr="008B6440">
        <w:t>Abbildungsverzeichnis</w:t>
      </w:r>
      <w:r w:rsidRPr="00541019">
        <w:t xml:space="preserve"> und </w:t>
      </w:r>
      <w:r w:rsidR="00541019">
        <w:t>–</w:t>
      </w:r>
      <w:proofErr w:type="spellStart"/>
      <w:r w:rsidRPr="00541019">
        <w:t>nachweis</w:t>
      </w:r>
      <w:proofErr w:type="spellEnd"/>
    </w:p>
    <w:p w14:paraId="47FA4947" w14:textId="77777777" w:rsidR="009B38B3" w:rsidRPr="009D5AF1" w:rsidRDefault="009B38B3" w:rsidP="0053292A">
      <w:pPr>
        <w:pStyle w:val="brberschriftEbene1mitNummerierungohneEbene2"/>
      </w:pPr>
      <w:bookmarkStart w:id="10" w:name="_Toc347000716"/>
      <w:bookmarkStart w:id="11" w:name="_Toc357575744"/>
      <w:bookmarkStart w:id="12" w:name="_Toc379738257"/>
      <w:r w:rsidRPr="009D5AF1">
        <w:lastRenderedPageBreak/>
        <w:t>Äußerliche Vorgaben (Übersicht)</w:t>
      </w:r>
      <w:bookmarkEnd w:id="10"/>
      <w:bookmarkEnd w:id="11"/>
      <w:bookmarkEnd w:id="12"/>
    </w:p>
    <w:tbl>
      <w:tblPr>
        <w:tblW w:w="5000" w:type="pct"/>
        <w:tblLook w:val="04A0" w:firstRow="1" w:lastRow="0" w:firstColumn="1" w:lastColumn="0" w:noHBand="0" w:noVBand="1"/>
      </w:tblPr>
      <w:tblGrid>
        <w:gridCol w:w="571"/>
        <w:gridCol w:w="4443"/>
        <w:gridCol w:w="4102"/>
      </w:tblGrid>
      <w:tr w:rsidR="009B38B3" w:rsidRPr="00164FEC" w14:paraId="4ACFDE6C" w14:textId="77777777" w:rsidTr="00041FE4">
        <w:trPr>
          <w:tblHeader/>
        </w:trPr>
        <w:tc>
          <w:tcPr>
            <w:tcW w:w="313" w:type="pct"/>
            <w:shd w:val="clear" w:color="auto" w:fill="auto"/>
          </w:tcPr>
          <w:p w14:paraId="67D9FECF" w14:textId="77777777" w:rsidR="009B38B3" w:rsidRPr="00080CC1" w:rsidRDefault="009B38B3" w:rsidP="00541019">
            <w:pPr>
              <w:spacing w:after="0" w:line="360" w:lineRule="auto"/>
              <w:rPr>
                <w:b/>
                <w:sz w:val="24"/>
                <w:szCs w:val="24"/>
              </w:rPr>
            </w:pPr>
            <w:r w:rsidRPr="00080CC1">
              <w:rPr>
                <w:b/>
                <w:sz w:val="24"/>
                <w:szCs w:val="24"/>
              </w:rPr>
              <w:t>Nr.</w:t>
            </w:r>
          </w:p>
        </w:tc>
        <w:tc>
          <w:tcPr>
            <w:tcW w:w="2437" w:type="pct"/>
            <w:shd w:val="clear" w:color="auto" w:fill="auto"/>
          </w:tcPr>
          <w:p w14:paraId="3111391F" w14:textId="77777777" w:rsidR="009B38B3" w:rsidRPr="00080CC1" w:rsidRDefault="009B38B3" w:rsidP="00541019">
            <w:pPr>
              <w:spacing w:after="0" w:line="360" w:lineRule="auto"/>
              <w:rPr>
                <w:b/>
                <w:sz w:val="24"/>
                <w:szCs w:val="24"/>
              </w:rPr>
            </w:pPr>
            <w:r w:rsidRPr="00080CC1">
              <w:rPr>
                <w:b/>
                <w:sz w:val="24"/>
                <w:szCs w:val="24"/>
              </w:rPr>
              <w:t>Inhalt</w:t>
            </w:r>
          </w:p>
        </w:tc>
        <w:tc>
          <w:tcPr>
            <w:tcW w:w="2250" w:type="pct"/>
            <w:shd w:val="clear" w:color="auto" w:fill="auto"/>
          </w:tcPr>
          <w:p w14:paraId="7CC91FA4" w14:textId="77777777" w:rsidR="009B38B3" w:rsidRPr="00080CC1" w:rsidRDefault="009B38B3" w:rsidP="00541019">
            <w:pPr>
              <w:spacing w:after="0" w:line="360" w:lineRule="auto"/>
              <w:rPr>
                <w:b/>
                <w:sz w:val="24"/>
                <w:szCs w:val="24"/>
              </w:rPr>
            </w:pPr>
            <w:r w:rsidRPr="00080CC1">
              <w:rPr>
                <w:b/>
                <w:sz w:val="24"/>
                <w:szCs w:val="24"/>
              </w:rPr>
              <w:t>Vorgabe</w:t>
            </w:r>
          </w:p>
        </w:tc>
      </w:tr>
      <w:tr w:rsidR="009B38B3" w:rsidRPr="00164FEC" w14:paraId="77CF3FD1" w14:textId="77777777" w:rsidTr="00041FE4">
        <w:tc>
          <w:tcPr>
            <w:tcW w:w="313" w:type="pct"/>
            <w:shd w:val="clear" w:color="auto" w:fill="auto"/>
          </w:tcPr>
          <w:p w14:paraId="2394BB37" w14:textId="77777777" w:rsidR="009B38B3" w:rsidRPr="00080CC1" w:rsidRDefault="009B38B3" w:rsidP="00541019">
            <w:pPr>
              <w:spacing w:after="0" w:line="360" w:lineRule="auto"/>
              <w:rPr>
                <w:sz w:val="24"/>
                <w:szCs w:val="24"/>
              </w:rPr>
            </w:pPr>
            <w:r w:rsidRPr="00080CC1">
              <w:rPr>
                <w:sz w:val="24"/>
                <w:szCs w:val="24"/>
              </w:rPr>
              <w:t>1</w:t>
            </w:r>
          </w:p>
        </w:tc>
        <w:tc>
          <w:tcPr>
            <w:tcW w:w="2437" w:type="pct"/>
            <w:shd w:val="clear" w:color="auto" w:fill="auto"/>
          </w:tcPr>
          <w:p w14:paraId="1BDEE8A0" w14:textId="77777777" w:rsidR="009B38B3" w:rsidRPr="00080CC1" w:rsidRDefault="009B38B3" w:rsidP="00541019">
            <w:pPr>
              <w:spacing w:after="0" w:line="360" w:lineRule="auto"/>
              <w:rPr>
                <w:sz w:val="24"/>
                <w:szCs w:val="24"/>
              </w:rPr>
            </w:pPr>
            <w:r w:rsidRPr="00080CC1">
              <w:rPr>
                <w:sz w:val="24"/>
                <w:szCs w:val="24"/>
              </w:rPr>
              <w:t>Font</w:t>
            </w:r>
          </w:p>
        </w:tc>
        <w:tc>
          <w:tcPr>
            <w:tcW w:w="2250" w:type="pct"/>
            <w:shd w:val="clear" w:color="auto" w:fill="auto"/>
          </w:tcPr>
          <w:p w14:paraId="518F0C14" w14:textId="77777777" w:rsidR="009B38B3" w:rsidRPr="00080CC1" w:rsidRDefault="009B38B3" w:rsidP="00541019">
            <w:pPr>
              <w:spacing w:after="0" w:line="360" w:lineRule="auto"/>
              <w:rPr>
                <w:sz w:val="24"/>
                <w:szCs w:val="24"/>
                <w:lang w:eastAsia="ja-JP"/>
              </w:rPr>
            </w:pPr>
            <w:r w:rsidRPr="00080CC1">
              <w:rPr>
                <w:sz w:val="24"/>
                <w:szCs w:val="24"/>
              </w:rPr>
              <w:t xml:space="preserve">Calibri / </w:t>
            </w:r>
            <w:r w:rsidRPr="002C51C1">
              <w:rPr>
                <w:rFonts w:ascii="MS Mincho" w:hAnsi="MS Mincho"/>
                <w:sz w:val="20"/>
                <w:szCs w:val="20"/>
                <w:lang w:eastAsia="ja-JP"/>
              </w:rPr>
              <w:t>明朝</w:t>
            </w:r>
          </w:p>
        </w:tc>
      </w:tr>
      <w:tr w:rsidR="009B38B3" w:rsidRPr="00164FEC" w14:paraId="29DB3E66" w14:textId="77777777" w:rsidTr="00041FE4">
        <w:tc>
          <w:tcPr>
            <w:tcW w:w="313" w:type="pct"/>
            <w:shd w:val="clear" w:color="auto" w:fill="auto"/>
          </w:tcPr>
          <w:p w14:paraId="64D02BFC" w14:textId="77777777" w:rsidR="009B38B3" w:rsidRPr="00080CC1" w:rsidRDefault="009B38B3" w:rsidP="00541019">
            <w:pPr>
              <w:spacing w:after="0" w:line="360" w:lineRule="auto"/>
              <w:rPr>
                <w:sz w:val="24"/>
                <w:szCs w:val="24"/>
              </w:rPr>
            </w:pPr>
            <w:r w:rsidRPr="00080CC1">
              <w:rPr>
                <w:sz w:val="24"/>
                <w:szCs w:val="24"/>
              </w:rPr>
              <w:t>2</w:t>
            </w:r>
          </w:p>
        </w:tc>
        <w:tc>
          <w:tcPr>
            <w:tcW w:w="2437" w:type="pct"/>
            <w:shd w:val="clear" w:color="auto" w:fill="auto"/>
          </w:tcPr>
          <w:p w14:paraId="21345484" w14:textId="77777777" w:rsidR="009B38B3" w:rsidRPr="00080CC1" w:rsidRDefault="009B38B3" w:rsidP="00541019">
            <w:pPr>
              <w:spacing w:after="0" w:line="360" w:lineRule="auto"/>
              <w:rPr>
                <w:sz w:val="24"/>
                <w:szCs w:val="24"/>
                <w:lang w:val="en-US"/>
              </w:rPr>
            </w:pPr>
            <w:r w:rsidRPr="00080CC1">
              <w:rPr>
                <w:sz w:val="24"/>
                <w:szCs w:val="24"/>
              </w:rPr>
              <w:t>Schriftgröße Haupttext lateinisch</w:t>
            </w:r>
          </w:p>
        </w:tc>
        <w:tc>
          <w:tcPr>
            <w:tcW w:w="2250" w:type="pct"/>
            <w:shd w:val="clear" w:color="auto" w:fill="auto"/>
          </w:tcPr>
          <w:p w14:paraId="6F9B09FE" w14:textId="77777777" w:rsidR="009B38B3" w:rsidRPr="00080CC1" w:rsidRDefault="009B38B3" w:rsidP="00541019">
            <w:pPr>
              <w:spacing w:after="0" w:line="360" w:lineRule="auto"/>
              <w:rPr>
                <w:sz w:val="24"/>
                <w:szCs w:val="24"/>
              </w:rPr>
            </w:pPr>
            <w:r w:rsidRPr="00080CC1">
              <w:rPr>
                <w:sz w:val="24"/>
                <w:szCs w:val="24"/>
              </w:rPr>
              <w:t xml:space="preserve">12 </w:t>
            </w:r>
            <w:proofErr w:type="spellStart"/>
            <w:r w:rsidRPr="00080CC1">
              <w:rPr>
                <w:sz w:val="24"/>
                <w:szCs w:val="24"/>
              </w:rPr>
              <w:t>pt</w:t>
            </w:r>
            <w:proofErr w:type="spellEnd"/>
          </w:p>
        </w:tc>
      </w:tr>
      <w:tr w:rsidR="009B38B3" w:rsidRPr="00164FEC" w14:paraId="71D25FD9" w14:textId="77777777" w:rsidTr="00041FE4">
        <w:tc>
          <w:tcPr>
            <w:tcW w:w="313" w:type="pct"/>
            <w:shd w:val="clear" w:color="auto" w:fill="auto"/>
          </w:tcPr>
          <w:p w14:paraId="5AF5A2E6" w14:textId="77777777" w:rsidR="009B38B3" w:rsidRPr="00080CC1" w:rsidRDefault="009B38B3" w:rsidP="00541019">
            <w:pPr>
              <w:spacing w:after="0" w:line="360" w:lineRule="auto"/>
              <w:rPr>
                <w:sz w:val="24"/>
                <w:szCs w:val="24"/>
              </w:rPr>
            </w:pPr>
            <w:r w:rsidRPr="00080CC1">
              <w:rPr>
                <w:sz w:val="24"/>
                <w:szCs w:val="24"/>
              </w:rPr>
              <w:t>3</w:t>
            </w:r>
          </w:p>
        </w:tc>
        <w:tc>
          <w:tcPr>
            <w:tcW w:w="2437" w:type="pct"/>
            <w:shd w:val="clear" w:color="auto" w:fill="auto"/>
          </w:tcPr>
          <w:p w14:paraId="1C773536" w14:textId="77777777" w:rsidR="009B38B3" w:rsidRPr="00080CC1" w:rsidRDefault="009B38B3" w:rsidP="00541019">
            <w:pPr>
              <w:spacing w:after="0" w:line="360" w:lineRule="auto"/>
              <w:rPr>
                <w:sz w:val="24"/>
                <w:szCs w:val="24"/>
                <w:lang w:val="en-US"/>
              </w:rPr>
            </w:pPr>
            <w:r w:rsidRPr="00080CC1">
              <w:rPr>
                <w:sz w:val="24"/>
                <w:szCs w:val="24"/>
              </w:rPr>
              <w:t>Schriftgröße Fußnote lateinisch</w:t>
            </w:r>
          </w:p>
        </w:tc>
        <w:tc>
          <w:tcPr>
            <w:tcW w:w="2250" w:type="pct"/>
            <w:shd w:val="clear" w:color="auto" w:fill="auto"/>
          </w:tcPr>
          <w:p w14:paraId="2441226C" w14:textId="77777777" w:rsidR="009B38B3" w:rsidRPr="00080CC1" w:rsidRDefault="009B38B3" w:rsidP="00541019">
            <w:pPr>
              <w:spacing w:after="0" w:line="360" w:lineRule="auto"/>
              <w:rPr>
                <w:sz w:val="24"/>
                <w:szCs w:val="24"/>
              </w:rPr>
            </w:pPr>
            <w:r w:rsidRPr="00080CC1">
              <w:rPr>
                <w:sz w:val="24"/>
                <w:szCs w:val="24"/>
              </w:rPr>
              <w:t xml:space="preserve">11 </w:t>
            </w:r>
            <w:proofErr w:type="spellStart"/>
            <w:r w:rsidRPr="00080CC1">
              <w:rPr>
                <w:sz w:val="24"/>
                <w:szCs w:val="24"/>
              </w:rPr>
              <w:t>pt</w:t>
            </w:r>
            <w:proofErr w:type="spellEnd"/>
          </w:p>
        </w:tc>
      </w:tr>
      <w:tr w:rsidR="009B38B3" w:rsidRPr="00164FEC" w14:paraId="3816133C" w14:textId="77777777" w:rsidTr="00041FE4">
        <w:tc>
          <w:tcPr>
            <w:tcW w:w="313" w:type="pct"/>
            <w:shd w:val="clear" w:color="auto" w:fill="auto"/>
          </w:tcPr>
          <w:p w14:paraId="2EB40723" w14:textId="77777777" w:rsidR="009B38B3" w:rsidRPr="00080CC1" w:rsidRDefault="009B38B3" w:rsidP="00541019">
            <w:pPr>
              <w:spacing w:after="0" w:line="360" w:lineRule="auto"/>
              <w:rPr>
                <w:sz w:val="24"/>
                <w:szCs w:val="24"/>
              </w:rPr>
            </w:pPr>
            <w:r w:rsidRPr="00080CC1">
              <w:rPr>
                <w:sz w:val="24"/>
                <w:szCs w:val="24"/>
              </w:rPr>
              <w:t>4</w:t>
            </w:r>
          </w:p>
        </w:tc>
        <w:tc>
          <w:tcPr>
            <w:tcW w:w="2437" w:type="pct"/>
            <w:shd w:val="clear" w:color="auto" w:fill="auto"/>
          </w:tcPr>
          <w:p w14:paraId="4B829491" w14:textId="77777777" w:rsidR="009B38B3" w:rsidRPr="00080CC1" w:rsidRDefault="009B38B3" w:rsidP="00541019">
            <w:pPr>
              <w:spacing w:after="0" w:line="360" w:lineRule="auto"/>
              <w:rPr>
                <w:sz w:val="24"/>
                <w:szCs w:val="24"/>
                <w:lang w:val="en-US"/>
              </w:rPr>
            </w:pPr>
            <w:r w:rsidRPr="00080CC1">
              <w:rPr>
                <w:sz w:val="24"/>
                <w:szCs w:val="24"/>
              </w:rPr>
              <w:t>Schriftgröße Haupttext japanisch</w:t>
            </w:r>
          </w:p>
        </w:tc>
        <w:tc>
          <w:tcPr>
            <w:tcW w:w="2250" w:type="pct"/>
            <w:shd w:val="clear" w:color="auto" w:fill="auto"/>
          </w:tcPr>
          <w:p w14:paraId="6B8A6A1F" w14:textId="77777777" w:rsidR="009B38B3" w:rsidRPr="00080CC1" w:rsidRDefault="009B38B3" w:rsidP="00541019">
            <w:pPr>
              <w:spacing w:after="0" w:line="360" w:lineRule="auto"/>
              <w:rPr>
                <w:sz w:val="24"/>
                <w:szCs w:val="24"/>
              </w:rPr>
            </w:pPr>
            <w:r w:rsidRPr="00080CC1">
              <w:rPr>
                <w:sz w:val="24"/>
                <w:szCs w:val="24"/>
              </w:rPr>
              <w:t xml:space="preserve">10 </w:t>
            </w:r>
            <w:proofErr w:type="spellStart"/>
            <w:r w:rsidRPr="00080CC1">
              <w:rPr>
                <w:sz w:val="24"/>
                <w:szCs w:val="24"/>
              </w:rPr>
              <w:t>pt</w:t>
            </w:r>
            <w:proofErr w:type="spellEnd"/>
          </w:p>
        </w:tc>
      </w:tr>
      <w:tr w:rsidR="009B38B3" w:rsidRPr="00164FEC" w14:paraId="2C54926D" w14:textId="77777777" w:rsidTr="00041FE4">
        <w:tc>
          <w:tcPr>
            <w:tcW w:w="313" w:type="pct"/>
            <w:shd w:val="clear" w:color="auto" w:fill="auto"/>
          </w:tcPr>
          <w:p w14:paraId="41ECB4E5" w14:textId="77777777" w:rsidR="009B38B3" w:rsidRPr="00080CC1" w:rsidRDefault="009B38B3" w:rsidP="00541019">
            <w:pPr>
              <w:spacing w:after="0" w:line="360" w:lineRule="auto"/>
              <w:rPr>
                <w:sz w:val="24"/>
                <w:szCs w:val="24"/>
              </w:rPr>
            </w:pPr>
            <w:r w:rsidRPr="00080CC1">
              <w:rPr>
                <w:sz w:val="24"/>
                <w:szCs w:val="24"/>
              </w:rPr>
              <w:t>5</w:t>
            </w:r>
          </w:p>
        </w:tc>
        <w:tc>
          <w:tcPr>
            <w:tcW w:w="2437" w:type="pct"/>
            <w:shd w:val="clear" w:color="auto" w:fill="auto"/>
          </w:tcPr>
          <w:p w14:paraId="30E495B3" w14:textId="77777777" w:rsidR="009B38B3" w:rsidRPr="00080CC1" w:rsidRDefault="009B38B3" w:rsidP="00541019">
            <w:pPr>
              <w:spacing w:after="0" w:line="360" w:lineRule="auto"/>
              <w:rPr>
                <w:sz w:val="24"/>
                <w:szCs w:val="24"/>
                <w:lang w:val="en-US"/>
              </w:rPr>
            </w:pPr>
            <w:r w:rsidRPr="00080CC1">
              <w:rPr>
                <w:sz w:val="24"/>
                <w:szCs w:val="24"/>
              </w:rPr>
              <w:t>Schriftgröße Fußnote japanisch</w:t>
            </w:r>
          </w:p>
        </w:tc>
        <w:tc>
          <w:tcPr>
            <w:tcW w:w="2250" w:type="pct"/>
            <w:shd w:val="clear" w:color="auto" w:fill="auto"/>
          </w:tcPr>
          <w:p w14:paraId="4C4FCC11" w14:textId="77777777" w:rsidR="009B38B3" w:rsidRPr="00080CC1" w:rsidRDefault="009B38B3" w:rsidP="00541019">
            <w:pPr>
              <w:spacing w:after="0" w:line="360" w:lineRule="auto"/>
              <w:rPr>
                <w:sz w:val="24"/>
                <w:szCs w:val="24"/>
              </w:rPr>
            </w:pPr>
            <w:r w:rsidRPr="00080CC1">
              <w:rPr>
                <w:sz w:val="24"/>
                <w:szCs w:val="24"/>
              </w:rPr>
              <w:t xml:space="preserve">9 </w:t>
            </w:r>
            <w:proofErr w:type="spellStart"/>
            <w:r w:rsidRPr="00080CC1">
              <w:rPr>
                <w:sz w:val="24"/>
                <w:szCs w:val="24"/>
              </w:rPr>
              <w:t>pt</w:t>
            </w:r>
            <w:proofErr w:type="spellEnd"/>
          </w:p>
        </w:tc>
      </w:tr>
      <w:tr w:rsidR="009B38B3" w:rsidRPr="00164FEC" w14:paraId="1FBA4DDA" w14:textId="77777777" w:rsidTr="00041FE4">
        <w:tc>
          <w:tcPr>
            <w:tcW w:w="313" w:type="pct"/>
            <w:shd w:val="clear" w:color="auto" w:fill="auto"/>
          </w:tcPr>
          <w:p w14:paraId="438228CD" w14:textId="77777777" w:rsidR="009B38B3" w:rsidRPr="00080CC1" w:rsidRDefault="009B38B3" w:rsidP="00541019">
            <w:pPr>
              <w:spacing w:after="0" w:line="360" w:lineRule="auto"/>
              <w:rPr>
                <w:sz w:val="24"/>
                <w:szCs w:val="24"/>
              </w:rPr>
            </w:pPr>
            <w:r w:rsidRPr="00080CC1">
              <w:rPr>
                <w:sz w:val="24"/>
                <w:szCs w:val="24"/>
              </w:rPr>
              <w:t>6</w:t>
            </w:r>
          </w:p>
        </w:tc>
        <w:tc>
          <w:tcPr>
            <w:tcW w:w="2437" w:type="pct"/>
            <w:shd w:val="clear" w:color="auto" w:fill="auto"/>
          </w:tcPr>
          <w:p w14:paraId="73642C11" w14:textId="77777777" w:rsidR="009B38B3" w:rsidRPr="00080CC1" w:rsidRDefault="009B38B3" w:rsidP="00541019">
            <w:pPr>
              <w:spacing w:after="0" w:line="360" w:lineRule="auto"/>
              <w:rPr>
                <w:sz w:val="24"/>
                <w:szCs w:val="24"/>
              </w:rPr>
            </w:pPr>
            <w:r w:rsidRPr="00080CC1">
              <w:rPr>
                <w:sz w:val="24"/>
                <w:szCs w:val="24"/>
              </w:rPr>
              <w:t xml:space="preserve">Titel </w:t>
            </w:r>
          </w:p>
        </w:tc>
        <w:tc>
          <w:tcPr>
            <w:tcW w:w="2250" w:type="pct"/>
            <w:shd w:val="clear" w:color="auto" w:fill="auto"/>
          </w:tcPr>
          <w:p w14:paraId="64FB8215" w14:textId="77777777" w:rsidR="009B38B3" w:rsidRPr="00080CC1" w:rsidRDefault="009B38B3" w:rsidP="00541019">
            <w:pPr>
              <w:spacing w:after="0" w:line="360" w:lineRule="auto"/>
              <w:rPr>
                <w:sz w:val="24"/>
                <w:szCs w:val="24"/>
              </w:rPr>
            </w:pPr>
            <w:r w:rsidRPr="00080CC1">
              <w:rPr>
                <w:sz w:val="24"/>
                <w:szCs w:val="24"/>
              </w:rPr>
              <w:t xml:space="preserve">16 </w:t>
            </w:r>
            <w:proofErr w:type="spellStart"/>
            <w:r w:rsidRPr="00080CC1">
              <w:rPr>
                <w:sz w:val="24"/>
                <w:szCs w:val="24"/>
              </w:rPr>
              <w:t>pt</w:t>
            </w:r>
            <w:proofErr w:type="spellEnd"/>
            <w:r w:rsidRPr="00080CC1">
              <w:rPr>
                <w:sz w:val="24"/>
                <w:szCs w:val="24"/>
              </w:rPr>
              <w:t xml:space="preserve"> (Formatvorlage)</w:t>
            </w:r>
          </w:p>
        </w:tc>
      </w:tr>
      <w:tr w:rsidR="009B38B3" w:rsidRPr="00164FEC" w14:paraId="2A615609" w14:textId="77777777" w:rsidTr="00041FE4">
        <w:tc>
          <w:tcPr>
            <w:tcW w:w="313" w:type="pct"/>
            <w:shd w:val="clear" w:color="auto" w:fill="auto"/>
          </w:tcPr>
          <w:p w14:paraId="49495F17" w14:textId="77777777" w:rsidR="009B38B3" w:rsidRPr="00080CC1" w:rsidRDefault="009B38B3" w:rsidP="00541019">
            <w:pPr>
              <w:spacing w:after="0" w:line="360" w:lineRule="auto"/>
              <w:rPr>
                <w:sz w:val="24"/>
                <w:szCs w:val="24"/>
              </w:rPr>
            </w:pPr>
          </w:p>
        </w:tc>
        <w:tc>
          <w:tcPr>
            <w:tcW w:w="2437" w:type="pct"/>
            <w:shd w:val="clear" w:color="auto" w:fill="auto"/>
          </w:tcPr>
          <w:p w14:paraId="1ED1C65B" w14:textId="77777777" w:rsidR="009B38B3" w:rsidRPr="00080CC1" w:rsidRDefault="009B38B3" w:rsidP="00541019">
            <w:pPr>
              <w:spacing w:after="0" w:line="360" w:lineRule="auto"/>
              <w:rPr>
                <w:sz w:val="24"/>
                <w:szCs w:val="24"/>
              </w:rPr>
            </w:pPr>
            <w:r w:rsidRPr="00080CC1">
              <w:rPr>
                <w:sz w:val="24"/>
                <w:szCs w:val="24"/>
              </w:rPr>
              <w:t>Überschriften Ebene 1</w:t>
            </w:r>
          </w:p>
        </w:tc>
        <w:tc>
          <w:tcPr>
            <w:tcW w:w="2250" w:type="pct"/>
            <w:shd w:val="clear" w:color="auto" w:fill="auto"/>
          </w:tcPr>
          <w:p w14:paraId="70B35218" w14:textId="77777777" w:rsidR="009B38B3" w:rsidRPr="00080CC1" w:rsidRDefault="009B38B3" w:rsidP="00541019">
            <w:pPr>
              <w:spacing w:after="0" w:line="360" w:lineRule="auto"/>
              <w:rPr>
                <w:sz w:val="24"/>
                <w:szCs w:val="24"/>
              </w:rPr>
            </w:pPr>
            <w:r w:rsidRPr="00080CC1">
              <w:rPr>
                <w:sz w:val="24"/>
                <w:szCs w:val="24"/>
              </w:rPr>
              <w:t xml:space="preserve">12 </w:t>
            </w:r>
            <w:proofErr w:type="spellStart"/>
            <w:r w:rsidRPr="00080CC1">
              <w:rPr>
                <w:sz w:val="24"/>
                <w:szCs w:val="24"/>
              </w:rPr>
              <w:t>pt</w:t>
            </w:r>
            <w:proofErr w:type="spellEnd"/>
            <w:r w:rsidRPr="00080CC1">
              <w:rPr>
                <w:sz w:val="24"/>
                <w:szCs w:val="24"/>
              </w:rPr>
              <w:t xml:space="preserve">, fett (Formatvorlage) </w:t>
            </w:r>
          </w:p>
        </w:tc>
      </w:tr>
      <w:tr w:rsidR="009B38B3" w:rsidRPr="00164FEC" w14:paraId="6B6461D8" w14:textId="77777777" w:rsidTr="00041FE4">
        <w:tc>
          <w:tcPr>
            <w:tcW w:w="313" w:type="pct"/>
            <w:shd w:val="clear" w:color="auto" w:fill="auto"/>
          </w:tcPr>
          <w:p w14:paraId="732E5FB9" w14:textId="77777777" w:rsidR="009B38B3" w:rsidRPr="00080CC1" w:rsidRDefault="009B38B3" w:rsidP="00541019">
            <w:pPr>
              <w:spacing w:after="0" w:line="360" w:lineRule="auto"/>
              <w:rPr>
                <w:sz w:val="24"/>
                <w:szCs w:val="24"/>
              </w:rPr>
            </w:pPr>
            <w:r w:rsidRPr="00080CC1">
              <w:rPr>
                <w:sz w:val="24"/>
                <w:szCs w:val="24"/>
              </w:rPr>
              <w:t>7</w:t>
            </w:r>
          </w:p>
        </w:tc>
        <w:tc>
          <w:tcPr>
            <w:tcW w:w="2437" w:type="pct"/>
            <w:shd w:val="clear" w:color="auto" w:fill="auto"/>
          </w:tcPr>
          <w:p w14:paraId="551B2ED9" w14:textId="77777777" w:rsidR="009B38B3" w:rsidRPr="00080CC1" w:rsidRDefault="009B38B3" w:rsidP="00541019">
            <w:pPr>
              <w:spacing w:after="0" w:line="360" w:lineRule="auto"/>
              <w:rPr>
                <w:sz w:val="24"/>
                <w:szCs w:val="24"/>
              </w:rPr>
            </w:pPr>
            <w:r w:rsidRPr="00080CC1">
              <w:rPr>
                <w:sz w:val="24"/>
                <w:szCs w:val="24"/>
              </w:rPr>
              <w:t>Absatzausrichtung</w:t>
            </w:r>
          </w:p>
        </w:tc>
        <w:tc>
          <w:tcPr>
            <w:tcW w:w="2250" w:type="pct"/>
            <w:shd w:val="clear" w:color="auto" w:fill="auto"/>
          </w:tcPr>
          <w:p w14:paraId="0EE11161" w14:textId="77777777" w:rsidR="009B38B3" w:rsidRPr="00080CC1" w:rsidRDefault="009B38B3" w:rsidP="00541019">
            <w:pPr>
              <w:spacing w:after="0" w:line="360" w:lineRule="auto"/>
              <w:rPr>
                <w:sz w:val="24"/>
                <w:szCs w:val="24"/>
              </w:rPr>
            </w:pPr>
            <w:r w:rsidRPr="00080CC1">
              <w:rPr>
                <w:sz w:val="24"/>
                <w:szCs w:val="24"/>
              </w:rPr>
              <w:t>Blocksatz</w:t>
            </w:r>
          </w:p>
        </w:tc>
      </w:tr>
      <w:tr w:rsidR="009B38B3" w:rsidRPr="00164FEC" w14:paraId="24855240" w14:textId="77777777" w:rsidTr="00041FE4">
        <w:tc>
          <w:tcPr>
            <w:tcW w:w="313" w:type="pct"/>
            <w:shd w:val="clear" w:color="auto" w:fill="auto"/>
          </w:tcPr>
          <w:p w14:paraId="050A90BC" w14:textId="77777777" w:rsidR="009B38B3" w:rsidRPr="00080CC1" w:rsidRDefault="009B38B3" w:rsidP="00541019">
            <w:pPr>
              <w:spacing w:after="0" w:line="360" w:lineRule="auto"/>
              <w:rPr>
                <w:sz w:val="24"/>
                <w:szCs w:val="24"/>
              </w:rPr>
            </w:pPr>
            <w:r w:rsidRPr="00080CC1">
              <w:rPr>
                <w:sz w:val="24"/>
                <w:szCs w:val="24"/>
              </w:rPr>
              <w:t>8</w:t>
            </w:r>
          </w:p>
        </w:tc>
        <w:tc>
          <w:tcPr>
            <w:tcW w:w="2437" w:type="pct"/>
            <w:shd w:val="clear" w:color="auto" w:fill="auto"/>
          </w:tcPr>
          <w:p w14:paraId="015F3A1E" w14:textId="77777777" w:rsidR="009B38B3" w:rsidRPr="00080CC1" w:rsidRDefault="009B38B3" w:rsidP="00541019">
            <w:pPr>
              <w:spacing w:after="0" w:line="360" w:lineRule="auto"/>
              <w:rPr>
                <w:sz w:val="24"/>
                <w:szCs w:val="24"/>
              </w:rPr>
            </w:pPr>
            <w:r w:rsidRPr="00080CC1">
              <w:rPr>
                <w:sz w:val="24"/>
                <w:szCs w:val="24"/>
              </w:rPr>
              <w:t>Absatz 1 nach Überschrift</w:t>
            </w:r>
          </w:p>
        </w:tc>
        <w:tc>
          <w:tcPr>
            <w:tcW w:w="2250" w:type="pct"/>
            <w:shd w:val="clear" w:color="auto" w:fill="auto"/>
          </w:tcPr>
          <w:p w14:paraId="3D453EC1" w14:textId="77777777" w:rsidR="009B38B3" w:rsidRPr="00080CC1" w:rsidRDefault="009B38B3" w:rsidP="00541019">
            <w:pPr>
              <w:spacing w:after="0" w:line="360" w:lineRule="auto"/>
              <w:rPr>
                <w:sz w:val="24"/>
                <w:szCs w:val="24"/>
              </w:rPr>
            </w:pPr>
            <w:r w:rsidRPr="00080CC1">
              <w:rPr>
                <w:sz w:val="24"/>
                <w:szCs w:val="24"/>
              </w:rPr>
              <w:t>ohne Einzug</w:t>
            </w:r>
          </w:p>
        </w:tc>
      </w:tr>
      <w:tr w:rsidR="009B38B3" w:rsidRPr="00164FEC" w14:paraId="109916EC" w14:textId="77777777" w:rsidTr="00041FE4">
        <w:tc>
          <w:tcPr>
            <w:tcW w:w="313" w:type="pct"/>
            <w:shd w:val="clear" w:color="auto" w:fill="auto"/>
          </w:tcPr>
          <w:p w14:paraId="29B121EA" w14:textId="77777777" w:rsidR="009B38B3" w:rsidRPr="00080CC1" w:rsidRDefault="009B38B3" w:rsidP="00541019">
            <w:pPr>
              <w:spacing w:after="0" w:line="360" w:lineRule="auto"/>
              <w:rPr>
                <w:sz w:val="24"/>
                <w:szCs w:val="24"/>
              </w:rPr>
            </w:pPr>
            <w:r w:rsidRPr="00080CC1">
              <w:rPr>
                <w:sz w:val="24"/>
                <w:szCs w:val="24"/>
              </w:rPr>
              <w:t>9</w:t>
            </w:r>
          </w:p>
        </w:tc>
        <w:tc>
          <w:tcPr>
            <w:tcW w:w="2437" w:type="pct"/>
            <w:shd w:val="clear" w:color="auto" w:fill="auto"/>
          </w:tcPr>
          <w:p w14:paraId="0B6EDE7C" w14:textId="77777777" w:rsidR="009B38B3" w:rsidRPr="00080CC1" w:rsidRDefault="009B38B3" w:rsidP="00541019">
            <w:pPr>
              <w:spacing w:after="0" w:line="360" w:lineRule="auto"/>
              <w:rPr>
                <w:sz w:val="24"/>
                <w:szCs w:val="24"/>
              </w:rPr>
            </w:pPr>
            <w:r w:rsidRPr="00080CC1">
              <w:rPr>
                <w:sz w:val="24"/>
                <w:szCs w:val="24"/>
              </w:rPr>
              <w:t>Absatz 2 und weitere nach Überschrift</w:t>
            </w:r>
          </w:p>
        </w:tc>
        <w:tc>
          <w:tcPr>
            <w:tcW w:w="2250" w:type="pct"/>
            <w:shd w:val="clear" w:color="auto" w:fill="auto"/>
          </w:tcPr>
          <w:p w14:paraId="3759F1AC" w14:textId="77777777" w:rsidR="009B38B3" w:rsidRPr="00080CC1" w:rsidRDefault="009B38B3" w:rsidP="00541019">
            <w:pPr>
              <w:spacing w:after="0" w:line="360" w:lineRule="auto"/>
              <w:rPr>
                <w:sz w:val="24"/>
                <w:szCs w:val="24"/>
                <w:highlight w:val="yellow"/>
              </w:rPr>
            </w:pPr>
            <w:r w:rsidRPr="00080CC1">
              <w:rPr>
                <w:sz w:val="24"/>
                <w:szCs w:val="24"/>
              </w:rPr>
              <w:t>Einzug um 4 Zeichen (Formatvorlage)</w:t>
            </w:r>
          </w:p>
        </w:tc>
      </w:tr>
      <w:tr w:rsidR="009B38B3" w:rsidRPr="00164FEC" w14:paraId="2CA32922" w14:textId="77777777" w:rsidTr="00041FE4">
        <w:tc>
          <w:tcPr>
            <w:tcW w:w="313" w:type="pct"/>
            <w:shd w:val="clear" w:color="auto" w:fill="auto"/>
          </w:tcPr>
          <w:p w14:paraId="5C11217E" w14:textId="77777777" w:rsidR="009B38B3" w:rsidRPr="00080CC1" w:rsidRDefault="009B38B3" w:rsidP="00541019">
            <w:pPr>
              <w:spacing w:after="0" w:line="360" w:lineRule="auto"/>
              <w:rPr>
                <w:sz w:val="24"/>
                <w:szCs w:val="24"/>
              </w:rPr>
            </w:pPr>
            <w:r w:rsidRPr="00080CC1">
              <w:rPr>
                <w:sz w:val="24"/>
                <w:szCs w:val="24"/>
              </w:rPr>
              <w:t>10</w:t>
            </w:r>
          </w:p>
        </w:tc>
        <w:tc>
          <w:tcPr>
            <w:tcW w:w="2437" w:type="pct"/>
            <w:shd w:val="clear" w:color="auto" w:fill="auto"/>
          </w:tcPr>
          <w:p w14:paraId="183EBCBC" w14:textId="77777777" w:rsidR="009B38B3" w:rsidRPr="00080CC1" w:rsidRDefault="009B38B3" w:rsidP="00541019">
            <w:pPr>
              <w:spacing w:after="0" w:line="360" w:lineRule="auto"/>
              <w:rPr>
                <w:sz w:val="24"/>
                <w:szCs w:val="24"/>
                <w:highlight w:val="yellow"/>
              </w:rPr>
            </w:pPr>
            <w:r w:rsidRPr="00080CC1">
              <w:rPr>
                <w:sz w:val="24"/>
                <w:szCs w:val="24"/>
              </w:rPr>
              <w:t>Langzitat</w:t>
            </w:r>
          </w:p>
        </w:tc>
        <w:tc>
          <w:tcPr>
            <w:tcW w:w="2250" w:type="pct"/>
            <w:shd w:val="clear" w:color="auto" w:fill="auto"/>
          </w:tcPr>
          <w:p w14:paraId="39DB4998" w14:textId="77777777" w:rsidR="009B38B3" w:rsidRPr="00080CC1" w:rsidRDefault="009B38B3" w:rsidP="00541019">
            <w:pPr>
              <w:spacing w:after="0" w:line="360" w:lineRule="auto"/>
              <w:rPr>
                <w:sz w:val="24"/>
                <w:szCs w:val="24"/>
                <w:highlight w:val="yellow"/>
              </w:rPr>
            </w:pPr>
            <w:r w:rsidRPr="00080CC1">
              <w:rPr>
                <w:sz w:val="24"/>
                <w:szCs w:val="24"/>
              </w:rPr>
              <w:t>beidseitig eingezogen (Formatvorlage)</w:t>
            </w:r>
          </w:p>
        </w:tc>
      </w:tr>
      <w:tr w:rsidR="009B38B3" w:rsidRPr="00164FEC" w14:paraId="76F8E812" w14:textId="77777777" w:rsidTr="00041FE4">
        <w:tc>
          <w:tcPr>
            <w:tcW w:w="313" w:type="pct"/>
            <w:shd w:val="clear" w:color="auto" w:fill="auto"/>
          </w:tcPr>
          <w:p w14:paraId="0A6DB9D3" w14:textId="77777777" w:rsidR="009B38B3" w:rsidRPr="00080CC1" w:rsidRDefault="009B38B3" w:rsidP="00541019">
            <w:pPr>
              <w:spacing w:after="0" w:line="360" w:lineRule="auto"/>
              <w:rPr>
                <w:sz w:val="24"/>
                <w:szCs w:val="24"/>
              </w:rPr>
            </w:pPr>
            <w:r w:rsidRPr="00080CC1">
              <w:rPr>
                <w:sz w:val="24"/>
                <w:szCs w:val="24"/>
              </w:rPr>
              <w:t>11</w:t>
            </w:r>
          </w:p>
        </w:tc>
        <w:tc>
          <w:tcPr>
            <w:tcW w:w="2437" w:type="pct"/>
            <w:shd w:val="clear" w:color="auto" w:fill="auto"/>
          </w:tcPr>
          <w:p w14:paraId="2E7E772B" w14:textId="77777777" w:rsidR="009B38B3" w:rsidRPr="00080CC1" w:rsidRDefault="009B38B3" w:rsidP="00541019">
            <w:pPr>
              <w:spacing w:after="0" w:line="360" w:lineRule="auto"/>
              <w:rPr>
                <w:sz w:val="24"/>
                <w:szCs w:val="24"/>
              </w:rPr>
            </w:pPr>
            <w:r w:rsidRPr="00080CC1">
              <w:rPr>
                <w:sz w:val="24"/>
                <w:szCs w:val="24"/>
              </w:rPr>
              <w:t>Fußnoten</w:t>
            </w:r>
          </w:p>
        </w:tc>
        <w:tc>
          <w:tcPr>
            <w:tcW w:w="2250" w:type="pct"/>
            <w:shd w:val="clear" w:color="auto" w:fill="auto"/>
          </w:tcPr>
          <w:p w14:paraId="44AE8A35" w14:textId="3C44A945" w:rsidR="009B38B3" w:rsidRPr="00080CC1" w:rsidRDefault="0042028F" w:rsidP="00541019">
            <w:pPr>
              <w:spacing w:after="0" w:line="360" w:lineRule="auto"/>
              <w:rPr>
                <w:sz w:val="24"/>
                <w:szCs w:val="24"/>
              </w:rPr>
            </w:pPr>
            <w:r w:rsidRPr="00080CC1">
              <w:rPr>
                <w:sz w:val="24"/>
                <w:szCs w:val="24"/>
              </w:rPr>
              <w:t>Ohne Einzug</w:t>
            </w:r>
            <w:r w:rsidR="009B38B3" w:rsidRPr="00080CC1">
              <w:rPr>
                <w:sz w:val="24"/>
                <w:szCs w:val="24"/>
              </w:rPr>
              <w:t xml:space="preserve"> (Formatvorlage)</w:t>
            </w:r>
          </w:p>
        </w:tc>
      </w:tr>
      <w:tr w:rsidR="009B38B3" w:rsidRPr="00164FEC" w14:paraId="0A209377" w14:textId="77777777" w:rsidTr="00041FE4">
        <w:tc>
          <w:tcPr>
            <w:tcW w:w="313" w:type="pct"/>
            <w:shd w:val="clear" w:color="auto" w:fill="auto"/>
          </w:tcPr>
          <w:p w14:paraId="45EBEC0E" w14:textId="77777777" w:rsidR="009B38B3" w:rsidRPr="00080CC1" w:rsidRDefault="009B38B3" w:rsidP="00541019">
            <w:pPr>
              <w:spacing w:after="0" w:line="360" w:lineRule="auto"/>
              <w:rPr>
                <w:sz w:val="24"/>
                <w:szCs w:val="24"/>
              </w:rPr>
            </w:pPr>
            <w:r w:rsidRPr="00080CC1">
              <w:rPr>
                <w:sz w:val="24"/>
                <w:szCs w:val="24"/>
              </w:rPr>
              <w:t>12</w:t>
            </w:r>
          </w:p>
        </w:tc>
        <w:tc>
          <w:tcPr>
            <w:tcW w:w="2437" w:type="pct"/>
            <w:shd w:val="clear" w:color="auto" w:fill="auto"/>
          </w:tcPr>
          <w:p w14:paraId="06CBB61F" w14:textId="77777777" w:rsidR="009B38B3" w:rsidRPr="00080CC1" w:rsidRDefault="009B38B3" w:rsidP="00541019">
            <w:pPr>
              <w:spacing w:after="0" w:line="360" w:lineRule="auto"/>
              <w:rPr>
                <w:sz w:val="24"/>
                <w:szCs w:val="24"/>
              </w:rPr>
            </w:pPr>
            <w:r w:rsidRPr="00080CC1">
              <w:rPr>
                <w:sz w:val="24"/>
                <w:szCs w:val="24"/>
              </w:rPr>
              <w:t>Fußnotenziffer</w:t>
            </w:r>
          </w:p>
        </w:tc>
        <w:tc>
          <w:tcPr>
            <w:tcW w:w="2250" w:type="pct"/>
            <w:shd w:val="clear" w:color="auto" w:fill="auto"/>
          </w:tcPr>
          <w:p w14:paraId="50167F5B" w14:textId="732CB2EC" w:rsidR="009B38B3" w:rsidRPr="00080CC1" w:rsidRDefault="0042028F" w:rsidP="00541019">
            <w:pPr>
              <w:spacing w:after="0" w:line="360" w:lineRule="auto"/>
              <w:rPr>
                <w:sz w:val="24"/>
                <w:szCs w:val="24"/>
              </w:rPr>
            </w:pPr>
            <w:r w:rsidRPr="00080CC1">
              <w:rPr>
                <w:sz w:val="24"/>
                <w:szCs w:val="24"/>
              </w:rPr>
              <w:t>F</w:t>
            </w:r>
            <w:r w:rsidR="009B38B3" w:rsidRPr="00080CC1">
              <w:rPr>
                <w:sz w:val="24"/>
                <w:szCs w:val="24"/>
              </w:rPr>
              <w:t>reigestellt</w:t>
            </w:r>
          </w:p>
        </w:tc>
      </w:tr>
      <w:tr w:rsidR="009B38B3" w:rsidRPr="00164FEC" w14:paraId="38C0BC38" w14:textId="77777777" w:rsidTr="00041FE4">
        <w:tc>
          <w:tcPr>
            <w:tcW w:w="313" w:type="pct"/>
            <w:shd w:val="clear" w:color="auto" w:fill="auto"/>
          </w:tcPr>
          <w:p w14:paraId="1EC5E1B2" w14:textId="77777777" w:rsidR="009B38B3" w:rsidRPr="00080CC1" w:rsidRDefault="009B38B3" w:rsidP="00541019">
            <w:pPr>
              <w:spacing w:after="0" w:line="360" w:lineRule="auto"/>
              <w:rPr>
                <w:sz w:val="24"/>
                <w:szCs w:val="24"/>
              </w:rPr>
            </w:pPr>
            <w:r w:rsidRPr="00080CC1">
              <w:rPr>
                <w:sz w:val="24"/>
                <w:szCs w:val="24"/>
              </w:rPr>
              <w:t>13</w:t>
            </w:r>
          </w:p>
        </w:tc>
        <w:tc>
          <w:tcPr>
            <w:tcW w:w="2437" w:type="pct"/>
            <w:shd w:val="clear" w:color="auto" w:fill="auto"/>
          </w:tcPr>
          <w:p w14:paraId="28703C9D" w14:textId="77777777" w:rsidR="009B38B3" w:rsidRPr="00080CC1" w:rsidRDefault="009258D3" w:rsidP="00541019">
            <w:pPr>
              <w:spacing w:after="0" w:line="360" w:lineRule="auto"/>
              <w:rPr>
                <w:sz w:val="24"/>
                <w:szCs w:val="24"/>
              </w:rPr>
            </w:pPr>
            <w:r w:rsidRPr="00080CC1">
              <w:rPr>
                <w:sz w:val="24"/>
                <w:szCs w:val="24"/>
              </w:rPr>
              <w:t>Rand links</w:t>
            </w:r>
            <w:r w:rsidR="009B38B3" w:rsidRPr="00080CC1">
              <w:rPr>
                <w:sz w:val="24"/>
                <w:szCs w:val="24"/>
              </w:rPr>
              <w:t xml:space="preserve"> / </w:t>
            </w:r>
            <w:r w:rsidRPr="00080CC1">
              <w:rPr>
                <w:sz w:val="24"/>
                <w:szCs w:val="24"/>
              </w:rPr>
              <w:t>rechts</w:t>
            </w:r>
          </w:p>
        </w:tc>
        <w:tc>
          <w:tcPr>
            <w:tcW w:w="2250" w:type="pct"/>
            <w:shd w:val="clear" w:color="auto" w:fill="auto"/>
          </w:tcPr>
          <w:p w14:paraId="74D2096E" w14:textId="77777777" w:rsidR="009B38B3" w:rsidRPr="00080CC1" w:rsidRDefault="009B38B3" w:rsidP="00541019">
            <w:pPr>
              <w:spacing w:after="0" w:line="360" w:lineRule="auto"/>
              <w:rPr>
                <w:sz w:val="24"/>
                <w:szCs w:val="24"/>
              </w:rPr>
            </w:pPr>
            <w:r w:rsidRPr="00080CC1">
              <w:rPr>
                <w:sz w:val="24"/>
                <w:szCs w:val="24"/>
              </w:rPr>
              <w:t>2,8 / 2,5 cm</w:t>
            </w:r>
          </w:p>
        </w:tc>
      </w:tr>
      <w:tr w:rsidR="009B38B3" w:rsidRPr="00164FEC" w14:paraId="7B7EB1D5" w14:textId="77777777" w:rsidTr="00041FE4">
        <w:tc>
          <w:tcPr>
            <w:tcW w:w="313" w:type="pct"/>
            <w:shd w:val="clear" w:color="auto" w:fill="auto"/>
          </w:tcPr>
          <w:p w14:paraId="5501828A" w14:textId="77777777" w:rsidR="009B38B3" w:rsidRPr="00080CC1" w:rsidRDefault="009B38B3" w:rsidP="00541019">
            <w:pPr>
              <w:spacing w:after="0" w:line="360" w:lineRule="auto"/>
              <w:rPr>
                <w:sz w:val="24"/>
                <w:szCs w:val="24"/>
              </w:rPr>
            </w:pPr>
            <w:r w:rsidRPr="00080CC1">
              <w:rPr>
                <w:sz w:val="24"/>
                <w:szCs w:val="24"/>
              </w:rPr>
              <w:t>14</w:t>
            </w:r>
          </w:p>
        </w:tc>
        <w:tc>
          <w:tcPr>
            <w:tcW w:w="2437" w:type="pct"/>
            <w:shd w:val="clear" w:color="auto" w:fill="auto"/>
          </w:tcPr>
          <w:p w14:paraId="35F9CBF0" w14:textId="77777777" w:rsidR="009B38B3" w:rsidRPr="00080CC1" w:rsidRDefault="009B38B3" w:rsidP="00541019">
            <w:pPr>
              <w:spacing w:after="0" w:line="360" w:lineRule="auto"/>
              <w:rPr>
                <w:sz w:val="24"/>
                <w:szCs w:val="24"/>
              </w:rPr>
            </w:pPr>
            <w:r w:rsidRPr="00080CC1">
              <w:rPr>
                <w:sz w:val="24"/>
                <w:szCs w:val="24"/>
              </w:rPr>
              <w:t>Rand oben / unten</w:t>
            </w:r>
          </w:p>
        </w:tc>
        <w:tc>
          <w:tcPr>
            <w:tcW w:w="2250" w:type="pct"/>
            <w:shd w:val="clear" w:color="auto" w:fill="auto"/>
          </w:tcPr>
          <w:p w14:paraId="4B118DEE" w14:textId="77777777" w:rsidR="009B38B3" w:rsidRPr="00080CC1" w:rsidRDefault="009B38B3" w:rsidP="00541019">
            <w:pPr>
              <w:spacing w:after="0" w:line="360" w:lineRule="auto"/>
              <w:rPr>
                <w:sz w:val="24"/>
                <w:szCs w:val="24"/>
              </w:rPr>
            </w:pPr>
            <w:r w:rsidRPr="00080CC1">
              <w:rPr>
                <w:sz w:val="24"/>
                <w:szCs w:val="24"/>
              </w:rPr>
              <w:t>2,5 / 2 cm</w:t>
            </w:r>
          </w:p>
        </w:tc>
      </w:tr>
      <w:tr w:rsidR="009B38B3" w:rsidRPr="00164FEC" w14:paraId="713C87FE" w14:textId="77777777" w:rsidTr="00041FE4">
        <w:tc>
          <w:tcPr>
            <w:tcW w:w="313" w:type="pct"/>
            <w:shd w:val="clear" w:color="auto" w:fill="auto"/>
          </w:tcPr>
          <w:p w14:paraId="4679386E" w14:textId="77777777" w:rsidR="009B38B3" w:rsidRPr="00080CC1" w:rsidRDefault="009B38B3" w:rsidP="00541019">
            <w:pPr>
              <w:spacing w:after="0" w:line="360" w:lineRule="auto"/>
              <w:rPr>
                <w:sz w:val="24"/>
                <w:szCs w:val="24"/>
              </w:rPr>
            </w:pPr>
            <w:r w:rsidRPr="00080CC1">
              <w:rPr>
                <w:sz w:val="24"/>
                <w:szCs w:val="24"/>
              </w:rPr>
              <w:t>15</w:t>
            </w:r>
          </w:p>
        </w:tc>
        <w:tc>
          <w:tcPr>
            <w:tcW w:w="2437" w:type="pct"/>
            <w:shd w:val="clear" w:color="auto" w:fill="auto"/>
          </w:tcPr>
          <w:p w14:paraId="3376BE23" w14:textId="77777777" w:rsidR="009B38B3" w:rsidRPr="00080CC1" w:rsidRDefault="009B38B3" w:rsidP="00541019">
            <w:pPr>
              <w:spacing w:after="0" w:line="360" w:lineRule="auto"/>
              <w:rPr>
                <w:sz w:val="24"/>
                <w:szCs w:val="24"/>
              </w:rPr>
            </w:pPr>
            <w:r w:rsidRPr="00080CC1">
              <w:rPr>
                <w:sz w:val="24"/>
                <w:szCs w:val="24"/>
              </w:rPr>
              <w:t>Transkription japanischer Wörter</w:t>
            </w:r>
          </w:p>
        </w:tc>
        <w:tc>
          <w:tcPr>
            <w:tcW w:w="2250" w:type="pct"/>
            <w:shd w:val="clear" w:color="auto" w:fill="auto"/>
          </w:tcPr>
          <w:p w14:paraId="6D6906F3" w14:textId="77777777" w:rsidR="009B38B3" w:rsidRPr="00080CC1" w:rsidRDefault="009B38B3" w:rsidP="00541019">
            <w:pPr>
              <w:spacing w:after="0" w:line="360" w:lineRule="auto"/>
              <w:rPr>
                <w:sz w:val="24"/>
                <w:szCs w:val="24"/>
              </w:rPr>
            </w:pPr>
            <w:r w:rsidRPr="00080CC1">
              <w:rPr>
                <w:sz w:val="24"/>
                <w:szCs w:val="24"/>
              </w:rPr>
              <w:t>modifizierte Hepburn-Transkription</w:t>
            </w:r>
          </w:p>
        </w:tc>
      </w:tr>
      <w:tr w:rsidR="009B38B3" w:rsidRPr="00164FEC" w14:paraId="085FED09" w14:textId="77777777" w:rsidTr="00041FE4">
        <w:tc>
          <w:tcPr>
            <w:tcW w:w="313" w:type="pct"/>
            <w:shd w:val="clear" w:color="auto" w:fill="auto"/>
          </w:tcPr>
          <w:p w14:paraId="3A3A14E2" w14:textId="77777777" w:rsidR="009B38B3" w:rsidRPr="00080CC1" w:rsidRDefault="009B38B3" w:rsidP="00541019">
            <w:pPr>
              <w:spacing w:after="0" w:line="360" w:lineRule="auto"/>
              <w:rPr>
                <w:sz w:val="24"/>
                <w:szCs w:val="24"/>
              </w:rPr>
            </w:pPr>
            <w:r w:rsidRPr="00080CC1">
              <w:rPr>
                <w:sz w:val="24"/>
                <w:szCs w:val="24"/>
              </w:rPr>
              <w:t>16</w:t>
            </w:r>
          </w:p>
        </w:tc>
        <w:tc>
          <w:tcPr>
            <w:tcW w:w="2437" w:type="pct"/>
            <w:shd w:val="clear" w:color="auto" w:fill="auto"/>
          </w:tcPr>
          <w:p w14:paraId="613FF472" w14:textId="77777777" w:rsidR="009B38B3" w:rsidRPr="00080CC1" w:rsidRDefault="009B38B3" w:rsidP="00541019">
            <w:pPr>
              <w:spacing w:after="0" w:line="360" w:lineRule="auto"/>
              <w:rPr>
                <w:sz w:val="24"/>
                <w:szCs w:val="24"/>
              </w:rPr>
            </w:pPr>
            <w:r w:rsidRPr="00080CC1">
              <w:rPr>
                <w:sz w:val="24"/>
                <w:szCs w:val="24"/>
              </w:rPr>
              <w:t>Anführungszeichen</w:t>
            </w:r>
          </w:p>
        </w:tc>
        <w:tc>
          <w:tcPr>
            <w:tcW w:w="2250" w:type="pct"/>
            <w:shd w:val="clear" w:color="auto" w:fill="auto"/>
            <w:vAlign w:val="center"/>
          </w:tcPr>
          <w:p w14:paraId="6D91AB27" w14:textId="77777777" w:rsidR="009B38B3" w:rsidRPr="00080CC1" w:rsidRDefault="009B38B3" w:rsidP="00541019">
            <w:pPr>
              <w:spacing w:after="0" w:line="360" w:lineRule="auto"/>
              <w:rPr>
                <w:sz w:val="24"/>
                <w:szCs w:val="24"/>
              </w:rPr>
            </w:pPr>
            <w:r w:rsidRPr="00080CC1">
              <w:rPr>
                <w:sz w:val="24"/>
                <w:szCs w:val="24"/>
              </w:rPr>
              <w:t>„Primär“; ‚sekundär‘</w:t>
            </w:r>
          </w:p>
        </w:tc>
      </w:tr>
      <w:tr w:rsidR="009B38B3" w:rsidRPr="00164FEC" w14:paraId="072CB38B" w14:textId="77777777" w:rsidTr="00041FE4">
        <w:tc>
          <w:tcPr>
            <w:tcW w:w="313" w:type="pct"/>
            <w:shd w:val="clear" w:color="auto" w:fill="auto"/>
          </w:tcPr>
          <w:p w14:paraId="63151B1B" w14:textId="77777777" w:rsidR="009B38B3" w:rsidRPr="00080CC1" w:rsidRDefault="009B38B3" w:rsidP="00541019">
            <w:pPr>
              <w:spacing w:after="0" w:line="360" w:lineRule="auto"/>
              <w:rPr>
                <w:sz w:val="24"/>
                <w:szCs w:val="24"/>
              </w:rPr>
            </w:pPr>
            <w:r w:rsidRPr="00080CC1">
              <w:rPr>
                <w:sz w:val="24"/>
                <w:szCs w:val="24"/>
              </w:rPr>
              <w:t>17</w:t>
            </w:r>
          </w:p>
        </w:tc>
        <w:tc>
          <w:tcPr>
            <w:tcW w:w="2437" w:type="pct"/>
            <w:shd w:val="clear" w:color="auto" w:fill="auto"/>
          </w:tcPr>
          <w:p w14:paraId="3BBDB46C" w14:textId="77777777" w:rsidR="009B38B3" w:rsidRPr="00080CC1" w:rsidRDefault="009B38B3" w:rsidP="00541019">
            <w:pPr>
              <w:spacing w:after="0" w:line="360" w:lineRule="auto"/>
              <w:rPr>
                <w:sz w:val="24"/>
                <w:szCs w:val="24"/>
              </w:rPr>
            </w:pPr>
            <w:r w:rsidRPr="00080CC1">
              <w:rPr>
                <w:sz w:val="24"/>
                <w:szCs w:val="24"/>
              </w:rPr>
              <w:t>Kapitälchen</w:t>
            </w:r>
          </w:p>
        </w:tc>
        <w:tc>
          <w:tcPr>
            <w:tcW w:w="2250" w:type="pct"/>
            <w:shd w:val="clear" w:color="auto" w:fill="auto"/>
            <w:vAlign w:val="center"/>
          </w:tcPr>
          <w:p w14:paraId="77BF765D" w14:textId="2E584C6B" w:rsidR="009B38B3" w:rsidRPr="00080CC1" w:rsidRDefault="009B38B3" w:rsidP="0038159D">
            <w:pPr>
              <w:spacing w:after="0"/>
              <w:rPr>
                <w:sz w:val="24"/>
                <w:szCs w:val="24"/>
              </w:rPr>
            </w:pPr>
            <w:r w:rsidRPr="00080CC1">
              <w:rPr>
                <w:smallCaps/>
                <w:sz w:val="24"/>
                <w:szCs w:val="24"/>
              </w:rPr>
              <w:t xml:space="preserve">Nachnamen </w:t>
            </w:r>
            <w:r w:rsidR="00673E39" w:rsidRPr="00080CC1">
              <w:rPr>
                <w:sz w:val="24"/>
                <w:szCs w:val="24"/>
              </w:rPr>
              <w:t xml:space="preserve">(Autoren und Herausgeber) </w:t>
            </w:r>
            <w:r w:rsidRPr="00164FEC">
              <w:rPr>
                <w:sz w:val="24"/>
                <w:szCs w:val="24"/>
              </w:rPr>
              <w:t>nur in Fußnoten und im Literatur</w:t>
            </w:r>
            <w:r w:rsidR="007F211B" w:rsidRPr="00164FEC">
              <w:rPr>
                <w:sz w:val="24"/>
                <w:szCs w:val="24"/>
              </w:rPr>
              <w:t>-</w:t>
            </w:r>
            <w:r w:rsidRPr="00164FEC">
              <w:rPr>
                <w:sz w:val="24"/>
                <w:szCs w:val="24"/>
              </w:rPr>
              <w:t>verzeichnis in Kapitälchen, nicht in GROSSBUCHSTABEN.</w:t>
            </w:r>
          </w:p>
        </w:tc>
      </w:tr>
    </w:tbl>
    <w:p w14:paraId="58F08262" w14:textId="62CBC813" w:rsidR="009B38B3" w:rsidRPr="00E32718" w:rsidRDefault="009B38B3" w:rsidP="004C48B2">
      <w:pPr>
        <w:ind w:left="119" w:hanging="119"/>
        <w:jc w:val="right"/>
        <w:rPr>
          <w:sz w:val="20"/>
          <w:szCs w:val="20"/>
        </w:rPr>
      </w:pPr>
    </w:p>
    <w:p w14:paraId="1DC6CDDC" w14:textId="3EC76408" w:rsidR="009B38B3" w:rsidRPr="009D5AF1" w:rsidRDefault="009B38B3" w:rsidP="0053292A">
      <w:pPr>
        <w:pStyle w:val="brberschriftEbene1mitNummerierungohneEbene2"/>
      </w:pPr>
      <w:bookmarkStart w:id="13" w:name="_Toc347000717"/>
      <w:bookmarkStart w:id="14" w:name="_Toc357575745"/>
      <w:bookmarkStart w:id="15" w:name="_Toc379738258"/>
      <w:bookmarkStart w:id="16" w:name="_Ref380005740"/>
      <w:r w:rsidRPr="009D5AF1">
        <w:t>Muster für Haupttext</w:t>
      </w:r>
      <w:r w:rsidR="004015CA">
        <w:t>,</w:t>
      </w:r>
      <w:r w:rsidRPr="009D5AF1">
        <w:t xml:space="preserve"> Fußnote</w:t>
      </w:r>
      <w:bookmarkEnd w:id="13"/>
      <w:bookmarkEnd w:id="14"/>
      <w:bookmarkEnd w:id="15"/>
      <w:r w:rsidRPr="009D5AF1">
        <w:t>n</w:t>
      </w:r>
      <w:r w:rsidR="004015CA">
        <w:t xml:space="preserve"> und Literaturverzeichnis</w:t>
      </w:r>
      <w:r w:rsidRPr="009D5AF1">
        <w:t xml:space="preserve"> mit weiteren Vorgaben</w:t>
      </w:r>
      <w:bookmarkEnd w:id="16"/>
    </w:p>
    <w:p w14:paraId="6ED425BE" w14:textId="5FBA2113" w:rsidR="009B38B3" w:rsidRDefault="009B38B3" w:rsidP="00143128">
      <w:pPr>
        <w:pStyle w:val="brHaupttextlateinischAbsatz1"/>
      </w:pPr>
      <w:r w:rsidRPr="0038159D">
        <w:t>Der erste Absatz nach einem Titel soll ohne Einzug gestaltet sein. Der Zeilenabstand im Haupttext beträgt einheitlich 1,15 Zeilen, in den Fußnoten 1,0 Zeilen.</w:t>
      </w:r>
      <w:r w:rsidRPr="0038159D">
        <w:rPr>
          <w:lang w:eastAsia="ja-JP"/>
        </w:rPr>
        <w:t xml:space="preserve"> </w:t>
      </w:r>
      <w:r w:rsidRPr="0038159D">
        <w:t xml:space="preserve">Der zweite Absatz und weitere Absätze eines Abschnittes sollen um 4 Zeichen (8 </w:t>
      </w:r>
      <w:proofErr w:type="spellStart"/>
      <w:r w:rsidRPr="0038159D">
        <w:t>bit</w:t>
      </w:r>
      <w:proofErr w:type="spellEnd"/>
      <w:r w:rsidRPr="0038159D">
        <w:t xml:space="preserve">), bei japanischen Texten um 2 Zeichen (16 </w:t>
      </w:r>
      <w:proofErr w:type="spellStart"/>
      <w:r w:rsidRPr="0038159D">
        <w:t>bit</w:t>
      </w:r>
      <w:proofErr w:type="spellEnd"/>
      <w:r w:rsidRPr="0038159D">
        <w:t>) eingezogen werden. Nutzen Sie die Gliederungsfunktion von Word für die Strukturierung Ihres Textes (wie in dieser Dokumentvorlage).</w:t>
      </w:r>
    </w:p>
    <w:p w14:paraId="0293C6E6" w14:textId="77777777" w:rsidR="00164FEC" w:rsidRPr="00164FEC" w:rsidRDefault="00164FEC" w:rsidP="00080CC1"/>
    <w:p w14:paraId="5BB8EC66" w14:textId="77777777" w:rsidR="009B38B3" w:rsidRPr="0038159D" w:rsidRDefault="009B38B3" w:rsidP="00143128">
      <w:pPr>
        <w:pStyle w:val="brHaupttextlateinischAbsatz2"/>
      </w:pPr>
      <w:r w:rsidRPr="0038159D">
        <w:lastRenderedPageBreak/>
        <w:t>Die Transkription erfolgt nach dem modifizierten Hepburn-System:</w:t>
      </w:r>
    </w:p>
    <w:p w14:paraId="6051E0FD" w14:textId="7DEFEDDC" w:rsidR="009B38B3" w:rsidRPr="0087326E" w:rsidRDefault="009B38B3" w:rsidP="0087326E">
      <w:pPr>
        <w:pStyle w:val="brListeEbene1mitNummerierungElement1"/>
      </w:pPr>
      <w:r w:rsidRPr="0087326E">
        <w:t xml:space="preserve">Das Kana-Zeichen </w:t>
      </w:r>
      <w:r w:rsidRPr="002F4518">
        <w:rPr>
          <w:rFonts w:ascii="MS Mincho" w:hAnsi="MS Mincho"/>
          <w:sz w:val="18"/>
          <w:szCs w:val="18"/>
        </w:rPr>
        <w:t>ん</w:t>
      </w:r>
      <w:r w:rsidRPr="0087326E">
        <w:t xml:space="preserve"> wird bei Silbenschluss immer, also auch vor m, b und p, als n wiedergegeben (</w:t>
      </w:r>
      <w:proofErr w:type="spellStart"/>
      <w:r w:rsidRPr="00295F4F">
        <w:rPr>
          <w:i/>
        </w:rPr>
        <w:t>shinbun</w:t>
      </w:r>
      <w:proofErr w:type="spellEnd"/>
      <w:r w:rsidRPr="00295F4F">
        <w:rPr>
          <w:i/>
        </w:rPr>
        <w:t xml:space="preserve">, </w:t>
      </w:r>
      <w:proofErr w:type="spellStart"/>
      <w:r w:rsidRPr="00295F4F">
        <w:rPr>
          <w:i/>
        </w:rPr>
        <w:t>senmon</w:t>
      </w:r>
      <w:proofErr w:type="spellEnd"/>
      <w:r w:rsidRPr="00295F4F">
        <w:rPr>
          <w:i/>
        </w:rPr>
        <w:t xml:space="preserve">, </w:t>
      </w:r>
      <w:proofErr w:type="spellStart"/>
      <w:r w:rsidRPr="00295F4F">
        <w:rPr>
          <w:i/>
        </w:rPr>
        <w:t>kanpa</w:t>
      </w:r>
      <w:proofErr w:type="spellEnd"/>
      <w:r w:rsidRPr="0087326E">
        <w:t>).</w:t>
      </w:r>
    </w:p>
    <w:p w14:paraId="4031453E" w14:textId="24168431" w:rsidR="009B38B3" w:rsidRPr="0087326E" w:rsidRDefault="009B38B3" w:rsidP="003405EB">
      <w:pPr>
        <w:pStyle w:val="brListeEbene1mitNummerierungElement1"/>
      </w:pPr>
      <w:r w:rsidRPr="0087326E">
        <w:t xml:space="preserve">Folgt auf das Kana-Zeichen </w:t>
      </w:r>
      <w:r w:rsidRPr="002F4518">
        <w:rPr>
          <w:rFonts w:ascii="MS Mincho" w:hAnsi="MS Mincho"/>
          <w:sz w:val="18"/>
          <w:szCs w:val="18"/>
        </w:rPr>
        <w:t>ん</w:t>
      </w:r>
      <w:r w:rsidRPr="0087326E">
        <w:t xml:space="preserve"> ein Vokal oder y, so muss dazwisch</w:t>
      </w:r>
      <w:r w:rsidR="00E631F3" w:rsidRPr="0087326E">
        <w:t>en ein Apostroph gesetzt werden</w:t>
      </w:r>
      <w:r w:rsidRPr="0087326E">
        <w:t xml:space="preserve"> </w:t>
      </w:r>
      <w:r w:rsidR="00E631F3" w:rsidRPr="0087326E">
        <w:t>(</w:t>
      </w:r>
      <w:proofErr w:type="spellStart"/>
      <w:r w:rsidRPr="00295F4F">
        <w:rPr>
          <w:i/>
        </w:rPr>
        <w:t>Man'yōshū</w:t>
      </w:r>
      <w:proofErr w:type="spellEnd"/>
      <w:r w:rsidRPr="00295F4F">
        <w:rPr>
          <w:i/>
        </w:rPr>
        <w:t xml:space="preserve">; </w:t>
      </w:r>
      <w:proofErr w:type="spellStart"/>
      <w:r w:rsidRPr="00295F4F">
        <w:rPr>
          <w:i/>
        </w:rPr>
        <w:t>hon'yaku</w:t>
      </w:r>
      <w:proofErr w:type="spellEnd"/>
      <w:r w:rsidRPr="00295F4F">
        <w:rPr>
          <w:i/>
        </w:rPr>
        <w:t xml:space="preserve">, </w:t>
      </w:r>
      <w:proofErr w:type="spellStart"/>
      <w:r w:rsidRPr="00295F4F">
        <w:rPr>
          <w:i/>
        </w:rPr>
        <w:t>tan'i</w:t>
      </w:r>
      <w:proofErr w:type="spellEnd"/>
      <w:r w:rsidR="00E631F3" w:rsidRPr="0087326E">
        <w:t>)</w:t>
      </w:r>
      <w:r w:rsidRPr="0087326E">
        <w:t>.</w:t>
      </w:r>
    </w:p>
    <w:p w14:paraId="6FFB3E92" w14:textId="3B340ED1" w:rsidR="009F1BCF" w:rsidRPr="00343ECA" w:rsidRDefault="009B38B3" w:rsidP="003405EB">
      <w:pPr>
        <w:pStyle w:val="brListeEbene1mitNummerierungElement1"/>
      </w:pPr>
      <w:r w:rsidRPr="00343ECA">
        <w:t>Die Partikeln</w:t>
      </w:r>
      <w:r w:rsidR="00295F4F">
        <w:t xml:space="preserve"> </w:t>
      </w:r>
      <w:r w:rsidRPr="002F4518">
        <w:rPr>
          <w:rFonts w:ascii="MS Mincho" w:hAnsi="MS Mincho"/>
          <w:sz w:val="18"/>
          <w:szCs w:val="18"/>
        </w:rPr>
        <w:t>は</w:t>
      </w:r>
      <w:r w:rsidR="00757B22">
        <w:rPr>
          <w:rFonts w:asciiTheme="minorHAnsi" w:hAnsiTheme="minorHAnsi" w:cstheme="minorHAnsi"/>
          <w:szCs w:val="22"/>
        </w:rPr>
        <w:t xml:space="preserve">, </w:t>
      </w:r>
      <w:r w:rsidRPr="002F4518">
        <w:rPr>
          <w:rFonts w:ascii="MS Mincho" w:hAnsi="MS Mincho"/>
          <w:sz w:val="18"/>
          <w:szCs w:val="18"/>
        </w:rPr>
        <w:t>へ</w:t>
      </w:r>
      <w:r w:rsidR="00757B22">
        <w:t xml:space="preserve"> </w:t>
      </w:r>
      <w:r w:rsidRPr="00343ECA">
        <w:t xml:space="preserve">und </w:t>
      </w:r>
      <w:r w:rsidRPr="002F4518">
        <w:rPr>
          <w:rFonts w:ascii="MS Mincho" w:hAnsi="MS Mincho"/>
          <w:sz w:val="18"/>
          <w:szCs w:val="18"/>
        </w:rPr>
        <w:t>を</w:t>
      </w:r>
      <w:r w:rsidR="00757B22">
        <w:t xml:space="preserve"> </w:t>
      </w:r>
      <w:r w:rsidRPr="00343ECA">
        <w:t xml:space="preserve">sollten nach ihrer tatsächlichen Aussprache als </w:t>
      </w:r>
      <w:proofErr w:type="spellStart"/>
      <w:r w:rsidRPr="00590837">
        <w:rPr>
          <w:i/>
        </w:rPr>
        <w:t>wa</w:t>
      </w:r>
      <w:proofErr w:type="spellEnd"/>
      <w:r w:rsidRPr="00343ECA">
        <w:t xml:space="preserve">, </w:t>
      </w:r>
      <w:r w:rsidRPr="00590837">
        <w:rPr>
          <w:i/>
        </w:rPr>
        <w:t>e</w:t>
      </w:r>
      <w:r w:rsidRPr="00343ECA">
        <w:t xml:space="preserve"> und </w:t>
      </w:r>
      <w:r w:rsidRPr="00590837">
        <w:rPr>
          <w:i/>
        </w:rPr>
        <w:t>o</w:t>
      </w:r>
      <w:r w:rsidRPr="00343ECA">
        <w:t xml:space="preserve"> transkribiert werden (und nicht als </w:t>
      </w:r>
      <w:r w:rsidRPr="00590837">
        <w:rPr>
          <w:i/>
        </w:rPr>
        <w:t>ha</w:t>
      </w:r>
      <w:r w:rsidRPr="00343ECA">
        <w:t xml:space="preserve">, </w:t>
      </w:r>
      <w:r w:rsidRPr="00590837">
        <w:rPr>
          <w:i/>
        </w:rPr>
        <w:t>he</w:t>
      </w:r>
      <w:r w:rsidRPr="00343ECA">
        <w:t xml:space="preserve"> und </w:t>
      </w:r>
      <w:r w:rsidRPr="00590837">
        <w:rPr>
          <w:i/>
        </w:rPr>
        <w:t>wo</w:t>
      </w:r>
      <w:r w:rsidRPr="00343ECA">
        <w:t>).</w:t>
      </w:r>
    </w:p>
    <w:p w14:paraId="597FE36D" w14:textId="77777777" w:rsidR="009F1BCF" w:rsidRDefault="009B38B3" w:rsidP="003405EB">
      <w:pPr>
        <w:pStyle w:val="brListeEbene1mitNummerierungElement1"/>
      </w:pPr>
      <w:r w:rsidRPr="00343ECA">
        <w:t xml:space="preserve">Vokallängen werden durch </w:t>
      </w:r>
      <w:proofErr w:type="spellStart"/>
      <w:r w:rsidRPr="00343ECA">
        <w:t>Längungsstriche</w:t>
      </w:r>
      <w:proofErr w:type="spellEnd"/>
      <w:r w:rsidRPr="00343ECA">
        <w:t xml:space="preserve"> (Ā, Ī, Ū, Ē, Ō; ā, ī, ū, ē, ō) gekennzeichnet.</w:t>
      </w:r>
    </w:p>
    <w:p w14:paraId="586AFAC6" w14:textId="1C0D9BD9" w:rsidR="009F1BCF" w:rsidRPr="009F1BCF" w:rsidRDefault="009F1BCF" w:rsidP="003405EB">
      <w:pPr>
        <w:pStyle w:val="brListeEbene1mitNummerierungElement1"/>
      </w:pPr>
      <w:r w:rsidRPr="009F1BCF">
        <w:t xml:space="preserve">Japanische Ortsnamen wie </w:t>
      </w:r>
      <w:proofErr w:type="spellStart"/>
      <w:r w:rsidRPr="009F1BCF">
        <w:t>Tōkyō</w:t>
      </w:r>
      <w:proofErr w:type="spellEnd"/>
      <w:r w:rsidRPr="009F1BCF">
        <w:t xml:space="preserve">, </w:t>
      </w:r>
      <w:proofErr w:type="spellStart"/>
      <w:r w:rsidRPr="009F1BCF">
        <w:t>Ōsaka</w:t>
      </w:r>
      <w:proofErr w:type="spellEnd"/>
      <w:r w:rsidRPr="009F1BCF">
        <w:t xml:space="preserve"> oder Kyōto mit langen Vokalen werden </w:t>
      </w:r>
      <w:r>
        <w:t>auch i</w:t>
      </w:r>
      <w:r w:rsidR="00CB53B5">
        <w:t>m Deutschen</w:t>
      </w:r>
      <w:r>
        <w:t xml:space="preserve"> </w:t>
      </w:r>
      <w:r w:rsidRPr="009F1BCF">
        <w:t xml:space="preserve">mit </w:t>
      </w:r>
      <w:proofErr w:type="spellStart"/>
      <w:r w:rsidRPr="009F1BCF">
        <w:t>Längungsstrichen</w:t>
      </w:r>
      <w:proofErr w:type="spellEnd"/>
      <w:r w:rsidRPr="009F1BCF">
        <w:t xml:space="preserve"> geschrieben.</w:t>
      </w:r>
    </w:p>
    <w:p w14:paraId="784B787E" w14:textId="77777777" w:rsidR="007C54E4" w:rsidRDefault="007C54E4" w:rsidP="00653039">
      <w:pPr>
        <w:pStyle w:val="brHaupttextlateinischAbsatz1"/>
      </w:pPr>
    </w:p>
    <w:p w14:paraId="3490F8FD" w14:textId="1AF9B2C2" w:rsidR="009B38B3" w:rsidRPr="000C5707" w:rsidRDefault="009B38B3" w:rsidP="00143128">
      <w:pPr>
        <w:pStyle w:val="brHaupttextlateinischAbsatz1"/>
      </w:pPr>
      <w:r w:rsidRPr="000C5707">
        <w:t xml:space="preserve">Für chinesische Begriffe, Namen und Texte wird die Pinyin-Umschrift verwendet, für koreanische die Umschrift nach </w:t>
      </w:r>
      <w:hyperlink r:id="rId8" w:tooltip="McCune-Reischauer" w:history="1">
        <w:proofErr w:type="spellStart"/>
        <w:r w:rsidRPr="000C5707">
          <w:t>McCune-Reischauer</w:t>
        </w:r>
        <w:proofErr w:type="spellEnd"/>
      </w:hyperlink>
      <w:r w:rsidRPr="000C5707">
        <w:t>.</w:t>
      </w:r>
      <w:r w:rsidRPr="000C5707">
        <w:rPr>
          <w:rStyle w:val="FootnoteReference"/>
          <w:rFonts w:cs="Times"/>
        </w:rPr>
        <w:footnoteReference w:id="1"/>
      </w:r>
      <w:r w:rsidRPr="000C5707">
        <w:t xml:space="preserve"> Japanische Wörter im Text werden mit der deutschen Übersetzung an erster Stelle versehen, die Umschrift folgt in Klammern evtl. mit den entsprechenden </w:t>
      </w:r>
      <w:proofErr w:type="spellStart"/>
      <w:r w:rsidRPr="000C5707">
        <w:rPr>
          <w:i/>
          <w:iCs/>
        </w:rPr>
        <w:t>kanji</w:t>
      </w:r>
      <w:proofErr w:type="spellEnd"/>
      <w:r w:rsidRPr="000C5707">
        <w:rPr>
          <w:i/>
          <w:iCs/>
        </w:rPr>
        <w:t xml:space="preserve"> </w:t>
      </w:r>
      <w:r w:rsidRPr="000C5707">
        <w:t>am Schluss, z.B.: Frauenuniversität (</w:t>
      </w:r>
      <w:proofErr w:type="spellStart"/>
      <w:r w:rsidRPr="000C5707">
        <w:rPr>
          <w:i/>
          <w:iCs/>
        </w:rPr>
        <w:t>joshi</w:t>
      </w:r>
      <w:proofErr w:type="spellEnd"/>
      <w:r w:rsidRPr="000C5707">
        <w:rPr>
          <w:i/>
          <w:iCs/>
        </w:rPr>
        <w:t xml:space="preserve"> </w:t>
      </w:r>
      <w:proofErr w:type="spellStart"/>
      <w:r w:rsidRPr="000C5707">
        <w:rPr>
          <w:i/>
          <w:iCs/>
        </w:rPr>
        <w:t>daigaku</w:t>
      </w:r>
      <w:proofErr w:type="spellEnd"/>
      <w:r w:rsidRPr="000C5707">
        <w:rPr>
          <w:i/>
          <w:iCs/>
        </w:rPr>
        <w:t xml:space="preserve"> </w:t>
      </w:r>
      <w:r w:rsidRPr="000C5707">
        <w:rPr>
          <w:rFonts w:ascii="MS Mincho" w:hAnsi="MS Mincho"/>
          <w:sz w:val="20"/>
          <w:szCs w:val="20"/>
        </w:rPr>
        <w:t>女子大学</w:t>
      </w:r>
      <w:r w:rsidRPr="000C5707">
        <w:t xml:space="preserve">). Diese Reihenfolge von Transkription und Originalschrift gilt auch für Personennamen, also nach dem Muster </w:t>
      </w:r>
      <w:proofErr w:type="spellStart"/>
      <w:r w:rsidRPr="000C5707">
        <w:t>Sesshū</w:t>
      </w:r>
      <w:proofErr w:type="spellEnd"/>
      <w:r w:rsidRPr="000C5707">
        <w:t xml:space="preserve"> </w:t>
      </w:r>
      <w:proofErr w:type="spellStart"/>
      <w:r w:rsidRPr="000C5707">
        <w:t>Tōyō</w:t>
      </w:r>
      <w:proofErr w:type="spellEnd"/>
      <w:r w:rsidRPr="000C5707">
        <w:t xml:space="preserve"> </w:t>
      </w:r>
      <w:r w:rsidRPr="000C5707">
        <w:rPr>
          <w:rFonts w:ascii="MS Mincho" w:hAnsi="MS Mincho"/>
          <w:sz w:val="20"/>
          <w:szCs w:val="20"/>
        </w:rPr>
        <w:t>雪舟等楊</w:t>
      </w:r>
      <w:r w:rsidRPr="000C5707">
        <w:t xml:space="preserve"> (1420–1506?).</w:t>
      </w:r>
    </w:p>
    <w:p w14:paraId="38ACCC77" w14:textId="77777777" w:rsidR="009B38B3" w:rsidRPr="000C5707" w:rsidRDefault="009B38B3" w:rsidP="00143128">
      <w:pPr>
        <w:pStyle w:val="brHaupttextlateinischAbsatz2"/>
        <w:rPr>
          <w:rFonts w:cs="Times"/>
        </w:rPr>
      </w:pPr>
      <w:r w:rsidRPr="000C5707">
        <w:t xml:space="preserve">Machen Sie nach Möglichkeit Hervorhebungen in Form von </w:t>
      </w:r>
      <w:proofErr w:type="spellStart"/>
      <w:r w:rsidRPr="000C5707">
        <w:t>Kursivierungen</w:t>
      </w:r>
      <w:proofErr w:type="spellEnd"/>
      <w:r w:rsidRPr="000C5707">
        <w:t xml:space="preserve"> oder Anführungszeichen durch entsprechende rhetorische Gestaltung überflüssig.</w:t>
      </w:r>
    </w:p>
    <w:p w14:paraId="7A0AA354" w14:textId="0572BDD1" w:rsidR="004015CA" w:rsidRDefault="009B38B3" w:rsidP="00143128">
      <w:pPr>
        <w:pStyle w:val="brHaupttextlateinischAbsatz2"/>
      </w:pPr>
      <w:r w:rsidRPr="000C5707">
        <w:t>Verweise auf Quellen und Sekundärliteratur sollen in den Fußnoten abgekürzt und im Literaturverzeichnis aufgelöst werden.</w:t>
      </w:r>
      <w:r w:rsidRPr="000C5707">
        <w:rPr>
          <w:rFonts w:eastAsia="Arial Unicode MS"/>
          <w:color w:val="000000"/>
          <w:vertAlign w:val="superscript"/>
          <w:lang w:eastAsia="de-DE"/>
        </w:rPr>
        <w:footnoteReference w:id="2"/>
      </w:r>
      <w:r w:rsidR="004015CA">
        <w:t xml:space="preserve"> </w:t>
      </w:r>
      <w:bookmarkStart w:id="18" w:name="_Hlk507348423"/>
      <w:r w:rsidR="004015CA">
        <w:t xml:space="preserve">Fehlende Angaben im Impressum oder eine fehlende Paginierung </w:t>
      </w:r>
      <w:r w:rsidR="00F32F55">
        <w:t>können</w:t>
      </w:r>
      <w:r w:rsidR="004015CA">
        <w:t xml:space="preserve"> mit „</w:t>
      </w:r>
      <w:proofErr w:type="spellStart"/>
      <w:r w:rsidR="004015CA">
        <w:t>o.A.</w:t>
      </w:r>
      <w:proofErr w:type="spellEnd"/>
      <w:r w:rsidR="004015CA">
        <w:t>“ („ohne Angabe“) gekennzeichnet</w:t>
      </w:r>
      <w:r w:rsidR="00F32F55">
        <w:t xml:space="preserve"> werden</w:t>
      </w:r>
      <w:r w:rsidR="004015CA">
        <w:t>. Bei Zeitschriften werden Band und Nummer mit „Bd. x, Nr. y“ angegeben.</w:t>
      </w:r>
      <w:bookmarkEnd w:id="18"/>
      <w:r w:rsidR="00AC5D9B">
        <w:t xml:space="preserve"> </w:t>
      </w:r>
      <w:bookmarkStart w:id="19" w:name="_Hlk507359344"/>
      <w:r w:rsidR="00AC5D9B">
        <w:t xml:space="preserve">Titeln japanischer Publikationen, die noch nicht ins Deutsche übersetzt sind, </w:t>
      </w:r>
      <w:r w:rsidR="001C0376">
        <w:t xml:space="preserve">sollte </w:t>
      </w:r>
      <w:r w:rsidR="00AC5D9B">
        <w:t>eine Übersetzung in eckigen Klammern beigefügt</w:t>
      </w:r>
      <w:r w:rsidR="001C0376">
        <w:t xml:space="preserve"> werden</w:t>
      </w:r>
      <w:r w:rsidR="00647E56">
        <w:t>. L</w:t>
      </w:r>
      <w:bookmarkEnd w:id="19"/>
      <w:r w:rsidR="00647E56">
        <w:t>i</w:t>
      </w:r>
      <w:r w:rsidR="009F31E3">
        <w:t xml:space="preserve">egt jedoch eine deutsche Übersetzung vor, wird deren Titel </w:t>
      </w:r>
      <w:r w:rsidR="00647E56">
        <w:t xml:space="preserve">nach der Nennung des japanischen Titels </w:t>
      </w:r>
      <w:r w:rsidR="009F31E3">
        <w:t xml:space="preserve">kursiv und in runden Klammern </w:t>
      </w:r>
      <w:r w:rsidR="00647E56">
        <w:t>angegeben.</w:t>
      </w:r>
    </w:p>
    <w:p w14:paraId="582CC0CE" w14:textId="4CEBC887" w:rsidR="009B38B3" w:rsidRPr="000C5707" w:rsidRDefault="009B38B3" w:rsidP="00143128">
      <w:pPr>
        <w:pStyle w:val="brHaupttextlateinischAbsatz2"/>
      </w:pPr>
      <w:r w:rsidRPr="000C5707">
        <w:t xml:space="preserve">Längere Zitate werden durch beidseitige Einrückung, nicht durch Anführungszeichen gekennzeichnet. Die Schriftgröße von Langzitaten und anderen eingerückten Textteilen wie Aufzählungen beträgt 11 </w:t>
      </w:r>
      <w:proofErr w:type="spellStart"/>
      <w:r w:rsidRPr="000C5707">
        <w:t>pt</w:t>
      </w:r>
      <w:proofErr w:type="spellEnd"/>
      <w:r w:rsidRPr="000C5707">
        <w:t>. Der Langzitaten folgende Absatz ist nicht eingerückt.</w:t>
      </w:r>
    </w:p>
    <w:p w14:paraId="47ED74EE" w14:textId="77777777" w:rsidR="009B38B3" w:rsidRPr="00653039" w:rsidRDefault="009B38B3" w:rsidP="00D20CEC">
      <w:pPr>
        <w:pStyle w:val="brLangzitat"/>
      </w:pPr>
      <w:r w:rsidRPr="00653039">
        <w:lastRenderedPageBreak/>
        <w:t>Langzitat, Langzitat, Langzitat, Langzitat, Langzitat, Langzitat, Langzitat, Langzitat, Langzitat, Langzitat, Langzitat, Langzitat, Langzitat, Langzitat, Langzitat, Langzitat, Langzitat, Langzitat, Langzitat, Langzitat, Langzitat, Langzitat, Langzitat, Langzitat, Langzitat, Langzitat, Langzitat, Langzitat, Langzitat, Langzitat.</w:t>
      </w:r>
      <w:r w:rsidRPr="00653039">
        <w:rPr>
          <w:vertAlign w:val="superscript"/>
        </w:rPr>
        <w:footnoteReference w:id="3"/>
      </w:r>
    </w:p>
    <w:p w14:paraId="01B2572D" w14:textId="26B9D9D0" w:rsidR="009B38B3" w:rsidRDefault="009B38B3" w:rsidP="00164FEC">
      <w:pPr>
        <w:pStyle w:val="brHaupttextlateinischAbsatz1"/>
      </w:pPr>
      <w:r w:rsidRPr="00566857">
        <w:t>Langzitate sollen möglichst nicht am Ende eines Abschnittes stehen.</w:t>
      </w:r>
    </w:p>
    <w:p w14:paraId="2492A622" w14:textId="77777777" w:rsidR="00237B74" w:rsidRPr="00237B74" w:rsidRDefault="00237B74" w:rsidP="003405EB">
      <w:pPr>
        <w:pStyle w:val="brHaupttextlateinischAbsatz1"/>
      </w:pPr>
    </w:p>
    <w:p w14:paraId="23FF0D09" w14:textId="2FD2C29F" w:rsidR="00C0350D" w:rsidRPr="00C0350D" w:rsidRDefault="009B38B3" w:rsidP="0053292A">
      <w:pPr>
        <w:pStyle w:val="brberschriftEbene1ohneNummerierung"/>
      </w:pPr>
      <w:bookmarkStart w:id="20" w:name="_Toc379738259"/>
      <w:r w:rsidRPr="00BE3FC0">
        <w:t>Muster Literaturverzeichnis</w:t>
      </w:r>
      <w:bookmarkEnd w:id="20"/>
    </w:p>
    <w:p w14:paraId="3D7A3E5C" w14:textId="77777777" w:rsidR="009B38B3" w:rsidRPr="00125EDC" w:rsidRDefault="009B38B3" w:rsidP="0053292A">
      <w:pPr>
        <w:pStyle w:val="brberschriftEbene2ohneNummerierung"/>
      </w:pPr>
      <w:bookmarkStart w:id="21" w:name="_Toc379738260"/>
      <w:r w:rsidRPr="00125EDC">
        <w:t>Abkürzungen</w:t>
      </w:r>
      <w:bookmarkEnd w:id="21"/>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70" w:type="dxa"/>
          <w:right w:w="70" w:type="dxa"/>
        </w:tblCellMar>
        <w:tblLook w:val="06A0" w:firstRow="1" w:lastRow="0" w:firstColumn="1" w:lastColumn="0" w:noHBand="1" w:noVBand="1"/>
      </w:tblPr>
      <w:tblGrid>
        <w:gridCol w:w="1336"/>
        <w:gridCol w:w="7704"/>
      </w:tblGrid>
      <w:tr w:rsidR="009B38B3" w:rsidRPr="00125EDC" w14:paraId="302A843F" w14:textId="77777777" w:rsidTr="003405EB">
        <w:trPr>
          <w:trHeight w:val="300"/>
          <w:tblHeader/>
        </w:trPr>
        <w:tc>
          <w:tcPr>
            <w:tcW w:w="739" w:type="pct"/>
            <w:shd w:val="clear" w:color="auto" w:fill="auto"/>
            <w:noWrap/>
            <w:vAlign w:val="center"/>
          </w:tcPr>
          <w:p w14:paraId="15B728BD" w14:textId="77777777" w:rsidR="009B38B3" w:rsidRPr="00314D95" w:rsidRDefault="009B38B3" w:rsidP="00041FE4">
            <w:pPr>
              <w:rPr>
                <w:lang w:val="en-GB"/>
              </w:rPr>
            </w:pPr>
            <w:r w:rsidRPr="00314D95">
              <w:rPr>
                <w:lang w:val="en-GB"/>
              </w:rPr>
              <w:t>Sigle</w:t>
            </w:r>
          </w:p>
        </w:tc>
        <w:tc>
          <w:tcPr>
            <w:tcW w:w="4261" w:type="pct"/>
            <w:shd w:val="clear" w:color="auto" w:fill="auto"/>
            <w:noWrap/>
            <w:vAlign w:val="center"/>
          </w:tcPr>
          <w:p w14:paraId="2EA2A1EB" w14:textId="77777777" w:rsidR="009B38B3" w:rsidRPr="00314D95" w:rsidRDefault="009B38B3" w:rsidP="00041FE4">
            <w:pPr>
              <w:rPr>
                <w:lang w:val="en-GB"/>
              </w:rPr>
            </w:pPr>
            <w:proofErr w:type="spellStart"/>
            <w:r w:rsidRPr="00314D95">
              <w:rPr>
                <w:lang w:val="en-GB"/>
              </w:rPr>
              <w:t>Auflösung</w:t>
            </w:r>
            <w:proofErr w:type="spellEnd"/>
          </w:p>
        </w:tc>
      </w:tr>
      <w:tr w:rsidR="009B38B3" w:rsidRPr="00125EDC" w14:paraId="0DF887B1" w14:textId="77777777" w:rsidTr="003405EB">
        <w:trPr>
          <w:trHeight w:val="300"/>
        </w:trPr>
        <w:tc>
          <w:tcPr>
            <w:tcW w:w="739" w:type="pct"/>
            <w:shd w:val="clear" w:color="auto" w:fill="auto"/>
            <w:noWrap/>
            <w:vAlign w:val="center"/>
            <w:hideMark/>
          </w:tcPr>
          <w:p w14:paraId="6A20307D" w14:textId="77777777" w:rsidR="009B38B3" w:rsidRPr="00314D95" w:rsidRDefault="009B38B3" w:rsidP="00041FE4">
            <w:pPr>
              <w:rPr>
                <w:lang w:val="en-GB"/>
              </w:rPr>
            </w:pPr>
            <w:proofErr w:type="spellStart"/>
            <w:r w:rsidRPr="00314D95">
              <w:rPr>
                <w:lang w:val="en-GB"/>
              </w:rPr>
              <w:t>HWPh</w:t>
            </w:r>
            <w:proofErr w:type="spellEnd"/>
          </w:p>
        </w:tc>
        <w:tc>
          <w:tcPr>
            <w:tcW w:w="4261" w:type="pct"/>
            <w:shd w:val="clear" w:color="auto" w:fill="auto"/>
            <w:noWrap/>
            <w:vAlign w:val="center"/>
            <w:hideMark/>
          </w:tcPr>
          <w:p w14:paraId="6FF10FD0" w14:textId="77777777" w:rsidR="009B38B3" w:rsidRPr="007630E9" w:rsidRDefault="009B38B3" w:rsidP="00041FE4">
            <w:r w:rsidRPr="00B61D49">
              <w:rPr>
                <w:i/>
              </w:rPr>
              <w:t>Historisches Wörterbuch der Philosophie</w:t>
            </w:r>
            <w:r w:rsidRPr="007630E9">
              <w:t>. Basel: Schwabe, 1971–2007.</w:t>
            </w:r>
          </w:p>
        </w:tc>
      </w:tr>
      <w:tr w:rsidR="009B38B3" w:rsidRPr="00125EDC" w14:paraId="5A1360DE" w14:textId="77777777" w:rsidTr="003405EB">
        <w:trPr>
          <w:trHeight w:val="300"/>
        </w:trPr>
        <w:tc>
          <w:tcPr>
            <w:tcW w:w="739" w:type="pct"/>
            <w:shd w:val="clear" w:color="auto" w:fill="auto"/>
            <w:noWrap/>
            <w:vAlign w:val="center"/>
            <w:hideMark/>
          </w:tcPr>
          <w:p w14:paraId="127A3EC9" w14:textId="77777777" w:rsidR="009B38B3" w:rsidRPr="00314D95" w:rsidRDefault="009B38B3" w:rsidP="00041FE4">
            <w:pPr>
              <w:rPr>
                <w:lang w:val="en-GB"/>
              </w:rPr>
            </w:pPr>
            <w:r w:rsidRPr="00314D95">
              <w:rPr>
                <w:lang w:val="en-GB"/>
              </w:rPr>
              <w:t>KDR</w:t>
            </w:r>
          </w:p>
        </w:tc>
        <w:tc>
          <w:tcPr>
            <w:tcW w:w="4261" w:type="pct"/>
            <w:shd w:val="clear" w:color="auto" w:fill="auto"/>
            <w:noWrap/>
            <w:vAlign w:val="center"/>
            <w:hideMark/>
          </w:tcPr>
          <w:p w14:paraId="76C7624F" w14:textId="77777777" w:rsidR="009B38B3" w:rsidRPr="00314D95" w:rsidRDefault="009B38B3" w:rsidP="00041FE4">
            <w:pPr>
              <w:rPr>
                <w:lang w:val="en-GB" w:eastAsia="ja-JP"/>
              </w:rPr>
            </w:pPr>
            <w:proofErr w:type="spellStart"/>
            <w:r w:rsidRPr="00B61D49">
              <w:rPr>
                <w:i/>
                <w:lang w:val="en-GB" w:eastAsia="ja-JP"/>
              </w:rPr>
              <w:t>Kindai</w:t>
            </w:r>
            <w:proofErr w:type="spellEnd"/>
            <w:r w:rsidRPr="00B61D49">
              <w:rPr>
                <w:i/>
                <w:lang w:val="en-GB" w:eastAsia="ja-JP"/>
              </w:rPr>
              <w:t xml:space="preserve"> </w:t>
            </w:r>
            <w:proofErr w:type="spellStart"/>
            <w:r w:rsidRPr="00B61D49">
              <w:rPr>
                <w:i/>
                <w:lang w:val="en-GB" w:eastAsia="ja-JP"/>
              </w:rPr>
              <w:t>Dejitaru</w:t>
            </w:r>
            <w:proofErr w:type="spellEnd"/>
            <w:r w:rsidRPr="00B61D49">
              <w:rPr>
                <w:i/>
                <w:lang w:val="en-GB" w:eastAsia="ja-JP"/>
              </w:rPr>
              <w:t xml:space="preserve"> </w:t>
            </w:r>
            <w:proofErr w:type="spellStart"/>
            <w:r w:rsidRPr="00B61D49">
              <w:rPr>
                <w:i/>
                <w:lang w:val="en-GB" w:eastAsia="ja-JP"/>
              </w:rPr>
              <w:t>Raiburarī</w:t>
            </w:r>
            <w:proofErr w:type="spellEnd"/>
            <w:r w:rsidRPr="00314D95">
              <w:rPr>
                <w:lang w:val="en-GB" w:eastAsia="ja-JP"/>
              </w:rPr>
              <w:t xml:space="preserve"> </w:t>
            </w:r>
            <w:r w:rsidRPr="00F11623">
              <w:rPr>
                <w:rFonts w:ascii="MS Mincho" w:hAnsi="MS Mincho"/>
                <w:sz w:val="20"/>
                <w:szCs w:val="20"/>
                <w:lang w:val="en-GB" w:eastAsia="ja-JP"/>
              </w:rPr>
              <w:t>近代デジタルライブラリ</w:t>
            </w:r>
            <w:r w:rsidRPr="00314D95">
              <w:rPr>
                <w:lang w:val="en-GB" w:eastAsia="ja-JP"/>
              </w:rPr>
              <w:t>ー</w:t>
            </w:r>
            <w:r w:rsidRPr="00314D95">
              <w:rPr>
                <w:lang w:val="en-GB" w:eastAsia="ja-JP"/>
              </w:rPr>
              <w:t xml:space="preserve"> (http://kindai.ndl.go.jp/).</w:t>
            </w:r>
          </w:p>
        </w:tc>
      </w:tr>
      <w:tr w:rsidR="009B38B3" w:rsidRPr="00080CC1" w14:paraId="57A3469C" w14:textId="77777777" w:rsidTr="003405EB">
        <w:trPr>
          <w:trHeight w:val="300"/>
        </w:trPr>
        <w:tc>
          <w:tcPr>
            <w:tcW w:w="739" w:type="pct"/>
            <w:shd w:val="clear" w:color="auto" w:fill="auto"/>
            <w:noWrap/>
            <w:vAlign w:val="center"/>
          </w:tcPr>
          <w:p w14:paraId="3477FB57" w14:textId="77777777" w:rsidR="009B38B3" w:rsidRPr="00314D95" w:rsidRDefault="009B38B3" w:rsidP="00041FE4">
            <w:pPr>
              <w:rPr>
                <w:lang w:val="en-GB"/>
              </w:rPr>
            </w:pPr>
            <w:r w:rsidRPr="00314D95">
              <w:rPr>
                <w:lang w:val="en-GB"/>
              </w:rPr>
              <w:t>MN</w:t>
            </w:r>
          </w:p>
        </w:tc>
        <w:tc>
          <w:tcPr>
            <w:tcW w:w="4261" w:type="pct"/>
            <w:shd w:val="clear" w:color="auto" w:fill="auto"/>
            <w:noWrap/>
            <w:vAlign w:val="center"/>
          </w:tcPr>
          <w:p w14:paraId="79F21883" w14:textId="77777777" w:rsidR="009B38B3" w:rsidRPr="00314D95" w:rsidRDefault="009B38B3" w:rsidP="00041FE4">
            <w:pPr>
              <w:rPr>
                <w:lang w:val="en-GB"/>
              </w:rPr>
            </w:pPr>
            <w:proofErr w:type="spellStart"/>
            <w:r w:rsidRPr="00B61D49">
              <w:rPr>
                <w:i/>
                <w:lang w:val="en-GB"/>
              </w:rPr>
              <w:t>Monumenta</w:t>
            </w:r>
            <w:proofErr w:type="spellEnd"/>
            <w:r w:rsidRPr="00B61D49">
              <w:rPr>
                <w:i/>
                <w:lang w:val="en-GB"/>
              </w:rPr>
              <w:t xml:space="preserve"> </w:t>
            </w:r>
            <w:proofErr w:type="spellStart"/>
            <w:r w:rsidRPr="00B61D49">
              <w:rPr>
                <w:i/>
                <w:lang w:val="en-GB"/>
              </w:rPr>
              <w:t>Nipponica</w:t>
            </w:r>
            <w:proofErr w:type="spellEnd"/>
            <w:r w:rsidRPr="00314D95">
              <w:rPr>
                <w:lang w:val="en-GB"/>
              </w:rPr>
              <w:t>. Tōkyō: Sophia University, 1938–.</w:t>
            </w:r>
          </w:p>
        </w:tc>
      </w:tr>
      <w:tr w:rsidR="009B38B3" w:rsidRPr="00125EDC" w14:paraId="52CBCA8C" w14:textId="77777777" w:rsidTr="003405EB">
        <w:trPr>
          <w:trHeight w:val="300"/>
        </w:trPr>
        <w:tc>
          <w:tcPr>
            <w:tcW w:w="739" w:type="pct"/>
            <w:shd w:val="clear" w:color="auto" w:fill="auto"/>
            <w:noWrap/>
            <w:vAlign w:val="center"/>
          </w:tcPr>
          <w:p w14:paraId="2DD8B39A" w14:textId="77777777" w:rsidR="009B38B3" w:rsidRPr="00314D95" w:rsidRDefault="009B38B3" w:rsidP="00041FE4">
            <w:pPr>
              <w:rPr>
                <w:lang w:val="en-GB"/>
              </w:rPr>
            </w:pPr>
            <w:r w:rsidRPr="00314D95">
              <w:rPr>
                <w:lang w:val="en-GB"/>
              </w:rPr>
              <w:t>NKBT</w:t>
            </w:r>
          </w:p>
        </w:tc>
        <w:tc>
          <w:tcPr>
            <w:tcW w:w="4261" w:type="pct"/>
            <w:shd w:val="clear" w:color="auto" w:fill="auto"/>
            <w:noWrap/>
            <w:vAlign w:val="center"/>
          </w:tcPr>
          <w:p w14:paraId="6D6EE81E" w14:textId="77777777" w:rsidR="009B38B3" w:rsidRPr="00314D95" w:rsidRDefault="009B38B3" w:rsidP="00041FE4">
            <w:pPr>
              <w:rPr>
                <w:lang w:val="en-GB"/>
              </w:rPr>
            </w:pPr>
            <w:r w:rsidRPr="00607BDB">
              <w:rPr>
                <w:i/>
                <w:lang w:val="en-GB"/>
              </w:rPr>
              <w:t xml:space="preserve">Nihon </w:t>
            </w:r>
            <w:proofErr w:type="spellStart"/>
            <w:r w:rsidRPr="00607BDB">
              <w:rPr>
                <w:i/>
                <w:lang w:val="en-GB"/>
              </w:rPr>
              <w:t>koten</w:t>
            </w:r>
            <w:proofErr w:type="spellEnd"/>
            <w:r w:rsidRPr="00607BDB">
              <w:rPr>
                <w:i/>
                <w:lang w:val="en-GB"/>
              </w:rPr>
              <w:t xml:space="preserve"> </w:t>
            </w:r>
            <w:proofErr w:type="spellStart"/>
            <w:r w:rsidRPr="00607BDB">
              <w:rPr>
                <w:i/>
                <w:lang w:val="en-GB"/>
              </w:rPr>
              <w:t>bungaku</w:t>
            </w:r>
            <w:proofErr w:type="spellEnd"/>
            <w:r w:rsidRPr="00607BDB">
              <w:rPr>
                <w:i/>
                <w:lang w:val="en-GB"/>
              </w:rPr>
              <w:t xml:space="preserve"> </w:t>
            </w:r>
            <w:proofErr w:type="spellStart"/>
            <w:r w:rsidRPr="00607BDB">
              <w:rPr>
                <w:i/>
                <w:lang w:val="en-GB"/>
              </w:rPr>
              <w:t>taikei</w:t>
            </w:r>
            <w:proofErr w:type="spellEnd"/>
            <w:r w:rsidRPr="00607BDB">
              <w:rPr>
                <w:lang w:val="en-GB"/>
              </w:rPr>
              <w:t xml:space="preserve"> </w:t>
            </w:r>
            <w:r w:rsidRPr="00F11623">
              <w:rPr>
                <w:rFonts w:ascii="MS Mincho" w:hAnsi="MS Mincho"/>
                <w:sz w:val="20"/>
                <w:szCs w:val="20"/>
                <w:lang w:val="en-GB" w:eastAsia="ja-JP"/>
              </w:rPr>
              <w:t>日本古典文学大系</w:t>
            </w:r>
            <w:r w:rsidRPr="00607BDB">
              <w:rPr>
                <w:lang w:val="en-GB"/>
              </w:rPr>
              <w:t xml:space="preserve">. </w:t>
            </w:r>
            <w:r w:rsidRPr="00314D95">
              <w:rPr>
                <w:lang w:val="en-GB"/>
              </w:rPr>
              <w:t xml:space="preserve">107 </w:t>
            </w:r>
            <w:proofErr w:type="spellStart"/>
            <w:r w:rsidRPr="00314D95">
              <w:rPr>
                <w:lang w:val="en-GB"/>
              </w:rPr>
              <w:t>Bde</w:t>
            </w:r>
            <w:proofErr w:type="spellEnd"/>
            <w:r w:rsidRPr="00314D95">
              <w:rPr>
                <w:lang w:val="en-GB"/>
              </w:rPr>
              <w:t xml:space="preserve">. Tōkyō: Iwanami </w:t>
            </w:r>
            <w:proofErr w:type="spellStart"/>
            <w:r w:rsidRPr="00314D95">
              <w:rPr>
                <w:lang w:val="en-GB"/>
              </w:rPr>
              <w:t>shoten</w:t>
            </w:r>
            <w:proofErr w:type="spellEnd"/>
            <w:r w:rsidRPr="00314D95">
              <w:rPr>
                <w:lang w:val="en-GB"/>
              </w:rPr>
              <w:t>, 1957–68.</w:t>
            </w:r>
          </w:p>
        </w:tc>
      </w:tr>
      <w:tr w:rsidR="00152384" w:rsidRPr="004015CA" w14:paraId="3C8C2488" w14:textId="77777777" w:rsidTr="003405EB">
        <w:trPr>
          <w:trHeight w:val="300"/>
        </w:trPr>
        <w:tc>
          <w:tcPr>
            <w:tcW w:w="739" w:type="pct"/>
            <w:shd w:val="clear" w:color="auto" w:fill="auto"/>
            <w:noWrap/>
            <w:vAlign w:val="center"/>
          </w:tcPr>
          <w:p w14:paraId="15FFED10" w14:textId="1E896596" w:rsidR="00152384" w:rsidRPr="00314D95" w:rsidRDefault="00152384" w:rsidP="00041FE4">
            <w:pPr>
              <w:rPr>
                <w:lang w:val="en-GB"/>
              </w:rPr>
            </w:pPr>
            <w:r>
              <w:rPr>
                <w:lang w:val="en-GB"/>
              </w:rPr>
              <w:t>T</w:t>
            </w:r>
          </w:p>
        </w:tc>
        <w:tc>
          <w:tcPr>
            <w:tcW w:w="4261" w:type="pct"/>
            <w:shd w:val="clear" w:color="auto" w:fill="auto"/>
            <w:noWrap/>
            <w:vAlign w:val="center"/>
          </w:tcPr>
          <w:p w14:paraId="4FC9A917" w14:textId="77777777" w:rsidR="00152384" w:rsidRPr="00BE2C2A" w:rsidRDefault="00152384" w:rsidP="00152384">
            <w:pPr>
              <w:spacing w:after="0"/>
              <w:jc w:val="both"/>
              <w:rPr>
                <w:lang w:eastAsia="ja-JP"/>
              </w:rPr>
            </w:pPr>
            <w:proofErr w:type="spellStart"/>
            <w:r w:rsidRPr="00152384">
              <w:rPr>
                <w:i/>
                <w:lang w:val="en-GB" w:eastAsia="ja-JP"/>
              </w:rPr>
              <w:t>Taishō</w:t>
            </w:r>
            <w:proofErr w:type="spellEnd"/>
            <w:r w:rsidRPr="00152384">
              <w:rPr>
                <w:i/>
                <w:lang w:val="en-GB" w:eastAsia="ja-JP"/>
              </w:rPr>
              <w:t xml:space="preserve"> </w:t>
            </w:r>
            <w:proofErr w:type="spellStart"/>
            <w:r w:rsidRPr="00152384">
              <w:rPr>
                <w:i/>
                <w:lang w:val="en-GB" w:eastAsia="ja-JP"/>
              </w:rPr>
              <w:t>shinshū</w:t>
            </w:r>
            <w:proofErr w:type="spellEnd"/>
            <w:r w:rsidRPr="00152384">
              <w:rPr>
                <w:i/>
                <w:lang w:val="en-GB" w:eastAsia="ja-JP"/>
              </w:rPr>
              <w:t xml:space="preserve"> </w:t>
            </w:r>
            <w:proofErr w:type="spellStart"/>
            <w:r w:rsidRPr="00152384">
              <w:rPr>
                <w:i/>
                <w:lang w:val="en-GB" w:eastAsia="ja-JP"/>
              </w:rPr>
              <w:t>daizōkyō</w:t>
            </w:r>
            <w:proofErr w:type="spellEnd"/>
            <w:r w:rsidRPr="00152384">
              <w:rPr>
                <w:lang w:val="en-GB" w:eastAsia="ja-JP"/>
              </w:rPr>
              <w:t xml:space="preserve"> </w:t>
            </w:r>
            <w:r w:rsidRPr="00CE3CF5">
              <w:rPr>
                <w:rFonts w:ascii="MS Mincho"/>
                <w:sz w:val="18"/>
                <w:szCs w:val="18"/>
                <w:lang w:eastAsia="ja-JP"/>
              </w:rPr>
              <w:t>大正新脩大藏經</w:t>
            </w:r>
            <w:r w:rsidRPr="00152384">
              <w:rPr>
                <w:lang w:val="en-GB" w:eastAsia="ja-JP"/>
              </w:rPr>
              <w:t xml:space="preserve">. </w:t>
            </w:r>
            <w:proofErr w:type="spellStart"/>
            <w:r w:rsidRPr="00152384">
              <w:rPr>
                <w:smallCaps/>
                <w:lang w:val="en-GB" w:eastAsia="ja-JP"/>
              </w:rPr>
              <w:t>Takakusu</w:t>
            </w:r>
            <w:proofErr w:type="spellEnd"/>
            <w:r w:rsidRPr="00152384">
              <w:rPr>
                <w:lang w:val="en-GB" w:eastAsia="ja-JP"/>
              </w:rPr>
              <w:t xml:space="preserve">, </w:t>
            </w:r>
            <w:proofErr w:type="spellStart"/>
            <w:r w:rsidRPr="00152384">
              <w:rPr>
                <w:lang w:val="en-GB" w:eastAsia="ja-JP"/>
              </w:rPr>
              <w:t>Junjirō</w:t>
            </w:r>
            <w:proofErr w:type="spellEnd"/>
            <w:r w:rsidRPr="00152384">
              <w:rPr>
                <w:lang w:val="en-GB" w:eastAsia="ja-JP"/>
              </w:rPr>
              <w:t xml:space="preserve"> </w:t>
            </w:r>
            <w:r w:rsidRPr="00CE3CF5">
              <w:rPr>
                <w:sz w:val="18"/>
                <w:szCs w:val="18"/>
                <w:lang w:eastAsia="ja-JP"/>
              </w:rPr>
              <w:t>高楠順次朗</w:t>
            </w:r>
            <w:r w:rsidRPr="00152384">
              <w:rPr>
                <w:lang w:val="en-GB" w:eastAsia="ja-JP"/>
              </w:rPr>
              <w:t xml:space="preserve"> </w:t>
            </w:r>
            <w:r w:rsidRPr="00152384">
              <w:rPr>
                <w:i/>
                <w:lang w:val="en-GB" w:eastAsia="ja-JP"/>
              </w:rPr>
              <w:t>et al.</w:t>
            </w:r>
            <w:r w:rsidRPr="00152384">
              <w:rPr>
                <w:lang w:val="en-GB" w:eastAsia="ja-JP"/>
              </w:rPr>
              <w:t xml:space="preserve"> (Hg.). </w:t>
            </w:r>
            <w:r w:rsidRPr="00152384">
              <w:rPr>
                <w:rFonts w:eastAsia="PMingLiU"/>
                <w:lang w:val="en-GB" w:eastAsia="zh-TW"/>
              </w:rPr>
              <w:t xml:space="preserve">Tōkyō: </w:t>
            </w:r>
            <w:proofErr w:type="spellStart"/>
            <w:r w:rsidRPr="00152384">
              <w:rPr>
                <w:lang w:val="en-GB" w:eastAsia="ja-JP"/>
              </w:rPr>
              <w:t>Taishō</w:t>
            </w:r>
            <w:proofErr w:type="spellEnd"/>
            <w:r w:rsidRPr="00152384">
              <w:rPr>
                <w:lang w:val="en-GB" w:eastAsia="ja-JP"/>
              </w:rPr>
              <w:t xml:space="preserve"> </w:t>
            </w:r>
            <w:proofErr w:type="spellStart"/>
            <w:r w:rsidRPr="00152384">
              <w:rPr>
                <w:lang w:val="en-GB" w:eastAsia="ja-JP"/>
              </w:rPr>
              <w:t>issaikyō</w:t>
            </w:r>
            <w:proofErr w:type="spellEnd"/>
            <w:r w:rsidRPr="00152384">
              <w:rPr>
                <w:lang w:val="en-GB" w:eastAsia="ja-JP"/>
              </w:rPr>
              <w:t xml:space="preserve"> </w:t>
            </w:r>
            <w:proofErr w:type="spellStart"/>
            <w:r w:rsidRPr="00152384">
              <w:rPr>
                <w:lang w:val="en-GB" w:eastAsia="ja-JP"/>
              </w:rPr>
              <w:t>kankōkai</w:t>
            </w:r>
            <w:proofErr w:type="spellEnd"/>
            <w:r w:rsidRPr="00152384">
              <w:rPr>
                <w:lang w:val="en-GB" w:eastAsia="ja-JP"/>
              </w:rPr>
              <w:t xml:space="preserve">, 1924‒1935. </w:t>
            </w:r>
            <w:r w:rsidRPr="00BE2C2A">
              <w:rPr>
                <w:lang w:eastAsia="ja-JP"/>
              </w:rPr>
              <w:t xml:space="preserve">Online-Zugriff über </w:t>
            </w:r>
            <w:r w:rsidRPr="00BE2C2A">
              <w:rPr>
                <w:i/>
                <w:lang w:eastAsia="ja-JP"/>
              </w:rPr>
              <w:t xml:space="preserve">The SAT </w:t>
            </w:r>
            <w:proofErr w:type="spellStart"/>
            <w:r w:rsidRPr="00BE2C2A">
              <w:rPr>
                <w:i/>
                <w:lang w:eastAsia="ja-JP"/>
              </w:rPr>
              <w:t>Daizōkyō</w:t>
            </w:r>
            <w:proofErr w:type="spellEnd"/>
            <w:r w:rsidRPr="00BE2C2A">
              <w:rPr>
                <w:i/>
                <w:lang w:eastAsia="ja-JP"/>
              </w:rPr>
              <w:t xml:space="preserve"> Text Database</w:t>
            </w:r>
            <w:r w:rsidRPr="00BE2C2A">
              <w:rPr>
                <w:lang w:eastAsia="ja-JP"/>
              </w:rPr>
              <w:t xml:space="preserve"> (Version 2012).</w:t>
            </w:r>
          </w:p>
          <w:p w14:paraId="0668AD9A" w14:textId="331E63BF" w:rsidR="00152384" w:rsidRPr="00DF207D" w:rsidRDefault="00152384" w:rsidP="005B7700">
            <w:pPr>
              <w:pStyle w:val="brHaupttextlateinischAbsatz1"/>
            </w:pPr>
            <w:r w:rsidRPr="003405EB">
              <w:rPr>
                <w:lang w:eastAsia="ja-JP"/>
              </w:rPr>
              <w:t>URL: http://21dzk.l.u-tokyo.ac.jp/SAT/index_en.html</w:t>
            </w:r>
          </w:p>
          <w:p w14:paraId="16364F47" w14:textId="78D8A30A" w:rsidR="00152384" w:rsidRPr="00152384" w:rsidRDefault="00152384" w:rsidP="00152384">
            <w:pPr>
              <w:rPr>
                <w:lang w:val="en-GB"/>
              </w:rPr>
            </w:pPr>
            <w:r w:rsidRPr="00BE2C2A">
              <w:rPr>
                <w:lang w:eastAsia="ja-JP"/>
              </w:rPr>
              <w:t>(zuletzt aufgerufen: 22.08.2017).</w:t>
            </w:r>
          </w:p>
        </w:tc>
      </w:tr>
    </w:tbl>
    <w:p w14:paraId="6F263C3E" w14:textId="77777777" w:rsidR="009B38B3" w:rsidRPr="00125EDC" w:rsidRDefault="009B38B3" w:rsidP="0053292A">
      <w:pPr>
        <w:pStyle w:val="brberschriftEbene2ohneNummerierung"/>
      </w:pPr>
      <w:r w:rsidRPr="00125EDC">
        <w:t>Primärquellen</w:t>
      </w:r>
    </w:p>
    <w:p w14:paraId="2A63FB4D" w14:textId="6C6B1D3D" w:rsidR="000F7DAA" w:rsidRPr="00080CC1" w:rsidRDefault="000F7DAA" w:rsidP="00143128">
      <w:pPr>
        <w:pStyle w:val="brAngabeLiteraturverzeichnis"/>
        <w:rPr>
          <w:lang w:val="en-US"/>
        </w:rPr>
      </w:pPr>
      <w:r w:rsidRPr="00080CC1">
        <w:rPr>
          <w:lang w:val="en-US"/>
        </w:rPr>
        <w:t xml:space="preserve">[Anonymous] (1985): </w:t>
      </w:r>
      <w:r w:rsidR="000365AD" w:rsidRPr="00080CC1">
        <w:rPr>
          <w:lang w:val="en-US"/>
        </w:rPr>
        <w:t>„</w:t>
      </w:r>
      <w:proofErr w:type="spellStart"/>
      <w:r w:rsidRPr="00080CC1">
        <w:rPr>
          <w:lang w:val="en-US"/>
        </w:rPr>
        <w:t>Volto</w:t>
      </w:r>
      <w:proofErr w:type="spellEnd"/>
      <w:r w:rsidRPr="00080CC1">
        <w:rPr>
          <w:lang w:val="en-US"/>
        </w:rPr>
        <w:t xml:space="preserve"> </w:t>
      </w:r>
      <w:proofErr w:type="spellStart"/>
      <w:r w:rsidRPr="00080CC1">
        <w:rPr>
          <w:lang w:val="en-US"/>
        </w:rPr>
        <w:t>esotico</w:t>
      </w:r>
      <w:proofErr w:type="spellEnd"/>
      <w:r w:rsidRPr="00080CC1">
        <w:rPr>
          <w:lang w:val="en-US"/>
        </w:rPr>
        <w:t xml:space="preserve"> per la </w:t>
      </w:r>
      <w:proofErr w:type="spellStart"/>
      <w:proofErr w:type="gramStart"/>
      <w:r w:rsidRPr="00080CC1">
        <w:rPr>
          <w:lang w:val="en-US"/>
        </w:rPr>
        <w:t>Cavani</w:t>
      </w:r>
      <w:proofErr w:type="spellEnd"/>
      <w:r w:rsidR="000365AD" w:rsidRPr="00080CC1">
        <w:rPr>
          <w:lang w:val="en-US"/>
        </w:rPr>
        <w:t>“</w:t>
      </w:r>
      <w:proofErr w:type="gramEnd"/>
      <w:r w:rsidRPr="00080CC1">
        <w:rPr>
          <w:lang w:val="en-US"/>
        </w:rPr>
        <w:t>. In: La Stampa, 19.02.1985.</w:t>
      </w:r>
    </w:p>
    <w:p w14:paraId="0FB408CA" w14:textId="28AC2540" w:rsidR="000F7DAA" w:rsidRPr="00B03976" w:rsidRDefault="000F7DAA" w:rsidP="00143128">
      <w:pPr>
        <w:pStyle w:val="brAngabeLiteraturverzeichnis"/>
      </w:pPr>
      <w:r w:rsidRPr="00080CC1">
        <w:rPr>
          <w:smallCaps/>
          <w:lang w:val="en-US"/>
        </w:rPr>
        <w:t xml:space="preserve">Asano, </w:t>
      </w:r>
      <w:proofErr w:type="spellStart"/>
      <w:r w:rsidRPr="00080CC1">
        <w:rPr>
          <w:lang w:val="en-US"/>
        </w:rPr>
        <w:t>Kin’ya</w:t>
      </w:r>
      <w:proofErr w:type="spellEnd"/>
      <w:r w:rsidRPr="00080CC1">
        <w:rPr>
          <w:lang w:val="en-US"/>
        </w:rPr>
        <w:t xml:space="preserve"> </w:t>
      </w:r>
      <w:r w:rsidRPr="003405EB">
        <w:rPr>
          <w:rFonts w:ascii="MS Mincho" w:hAnsi="MS Mincho" w:hint="eastAsia"/>
          <w:sz w:val="20"/>
          <w:szCs w:val="20"/>
          <w:lang w:val="en-GB"/>
        </w:rPr>
        <w:t>浅野欣也</w:t>
      </w:r>
      <w:r w:rsidRPr="00080CC1">
        <w:rPr>
          <w:lang w:val="en-US"/>
        </w:rPr>
        <w:t xml:space="preserve"> (1990): „</w:t>
      </w:r>
      <w:proofErr w:type="spellStart"/>
      <w:r w:rsidRPr="00080CC1">
        <w:rPr>
          <w:lang w:val="en-US"/>
        </w:rPr>
        <w:t>Renku</w:t>
      </w:r>
      <w:proofErr w:type="spellEnd"/>
      <w:r w:rsidRPr="00080CC1">
        <w:rPr>
          <w:lang w:val="en-US"/>
        </w:rPr>
        <w:t xml:space="preserve"> </w:t>
      </w:r>
      <w:proofErr w:type="spellStart"/>
      <w:r w:rsidRPr="00080CC1">
        <w:rPr>
          <w:lang w:val="en-US"/>
        </w:rPr>
        <w:t>ryōhō</w:t>
      </w:r>
      <w:proofErr w:type="spellEnd"/>
      <w:r w:rsidRPr="00080CC1">
        <w:rPr>
          <w:lang w:val="en-US"/>
        </w:rPr>
        <w:t xml:space="preserve"> no </w:t>
      </w:r>
      <w:proofErr w:type="spellStart"/>
      <w:r w:rsidRPr="00080CC1">
        <w:rPr>
          <w:lang w:val="en-US"/>
        </w:rPr>
        <w:t>riron</w:t>
      </w:r>
      <w:proofErr w:type="spellEnd"/>
      <w:r w:rsidRPr="00080CC1">
        <w:rPr>
          <w:lang w:val="en-US"/>
        </w:rPr>
        <w:t xml:space="preserve"> to </w:t>
      </w:r>
      <w:proofErr w:type="spellStart"/>
      <w:r w:rsidRPr="00080CC1">
        <w:rPr>
          <w:lang w:val="en-US"/>
        </w:rPr>
        <w:t>gihō</w:t>
      </w:r>
      <w:proofErr w:type="spellEnd"/>
      <w:r w:rsidRPr="00080CC1">
        <w:rPr>
          <w:lang w:val="en-US"/>
        </w:rPr>
        <w:t xml:space="preserve"> to </w:t>
      </w:r>
      <w:proofErr w:type="spellStart"/>
      <w:r w:rsidRPr="00080CC1">
        <w:rPr>
          <w:lang w:val="en-US"/>
        </w:rPr>
        <w:t>jissai</w:t>
      </w:r>
      <w:proofErr w:type="spellEnd"/>
      <w:r w:rsidRPr="00080CC1">
        <w:rPr>
          <w:lang w:val="en-US"/>
        </w:rPr>
        <w:t xml:space="preserve"> [Über </w:t>
      </w:r>
      <w:proofErr w:type="spellStart"/>
      <w:r w:rsidRPr="00080CC1">
        <w:rPr>
          <w:lang w:val="en-US"/>
        </w:rPr>
        <w:t>Theorie</w:t>
      </w:r>
      <w:proofErr w:type="spellEnd"/>
      <w:r w:rsidRPr="00080CC1">
        <w:rPr>
          <w:lang w:val="en-US"/>
        </w:rPr>
        <w:t xml:space="preserve">, </w:t>
      </w:r>
      <w:proofErr w:type="spellStart"/>
      <w:r w:rsidRPr="00080CC1">
        <w:rPr>
          <w:lang w:val="en-US"/>
        </w:rPr>
        <w:t>Methode</w:t>
      </w:r>
      <w:proofErr w:type="spellEnd"/>
      <w:r w:rsidRPr="00080CC1">
        <w:rPr>
          <w:lang w:val="en-US"/>
        </w:rPr>
        <w:t xml:space="preserve"> und Praxis der </w:t>
      </w:r>
      <w:proofErr w:type="spellStart"/>
      <w:r w:rsidRPr="00080CC1">
        <w:rPr>
          <w:i/>
          <w:lang w:val="en-US"/>
        </w:rPr>
        <w:t>renku</w:t>
      </w:r>
      <w:r w:rsidRPr="00080CC1">
        <w:rPr>
          <w:lang w:val="en-US"/>
        </w:rPr>
        <w:t>-Therapie</w:t>
      </w:r>
      <w:proofErr w:type="spellEnd"/>
      <w:r w:rsidRPr="00080CC1">
        <w:rPr>
          <w:lang w:val="en-US"/>
        </w:rPr>
        <w:t xml:space="preserve">] </w:t>
      </w:r>
      <w:r w:rsidRPr="003405EB">
        <w:rPr>
          <w:rFonts w:ascii="MS Mincho" w:hAnsi="MS Mincho" w:hint="eastAsia"/>
          <w:sz w:val="20"/>
          <w:szCs w:val="20"/>
        </w:rPr>
        <w:t>連句療法の理論と技法と</w:t>
      </w:r>
      <w:proofErr w:type="gramStart"/>
      <w:r w:rsidRPr="003405EB">
        <w:rPr>
          <w:rFonts w:ascii="MS Mincho" w:hAnsi="MS Mincho" w:hint="eastAsia"/>
          <w:sz w:val="20"/>
          <w:szCs w:val="20"/>
        </w:rPr>
        <w:t>実際</w:t>
      </w:r>
      <w:r w:rsidRPr="00080CC1">
        <w:rPr>
          <w:lang w:val="en-US"/>
        </w:rPr>
        <w:t>“</w:t>
      </w:r>
      <w:proofErr w:type="gramEnd"/>
      <w:r w:rsidRPr="00080CC1">
        <w:rPr>
          <w:lang w:val="en-US"/>
        </w:rPr>
        <w:t xml:space="preserve">. In: </w:t>
      </w:r>
      <w:proofErr w:type="spellStart"/>
      <w:r w:rsidRPr="00080CC1">
        <w:rPr>
          <w:smallCaps/>
          <w:lang w:val="en-US"/>
        </w:rPr>
        <w:t>Iimori</w:t>
      </w:r>
      <w:proofErr w:type="spellEnd"/>
      <w:r w:rsidRPr="00080CC1">
        <w:rPr>
          <w:smallCaps/>
          <w:lang w:val="en-US"/>
        </w:rPr>
        <w:t>,</w:t>
      </w:r>
      <w:r w:rsidRPr="00080CC1">
        <w:rPr>
          <w:lang w:val="en-US"/>
        </w:rPr>
        <w:t xml:space="preserve"> </w:t>
      </w:r>
      <w:proofErr w:type="spellStart"/>
      <w:r w:rsidRPr="00080CC1">
        <w:rPr>
          <w:lang w:val="en-US"/>
        </w:rPr>
        <w:t>Makio</w:t>
      </w:r>
      <w:proofErr w:type="spellEnd"/>
      <w:r w:rsidRPr="00080CC1">
        <w:rPr>
          <w:lang w:val="en-US"/>
        </w:rPr>
        <w:t xml:space="preserve"> </w:t>
      </w:r>
      <w:r w:rsidRPr="003405EB">
        <w:rPr>
          <w:rFonts w:ascii="MS Mincho" w:hAnsi="MS Mincho" w:hint="eastAsia"/>
          <w:sz w:val="20"/>
          <w:szCs w:val="20"/>
        </w:rPr>
        <w:t>飯森眞喜雄</w:t>
      </w:r>
      <w:r w:rsidRPr="00080CC1">
        <w:rPr>
          <w:lang w:val="en-US"/>
        </w:rPr>
        <w:t xml:space="preserve">, </w:t>
      </w:r>
      <w:r w:rsidRPr="00080CC1">
        <w:rPr>
          <w:smallCaps/>
          <w:lang w:val="en-US"/>
        </w:rPr>
        <w:t>Asano,</w:t>
      </w:r>
      <w:r w:rsidRPr="00080CC1">
        <w:rPr>
          <w:lang w:val="en-US"/>
        </w:rPr>
        <w:t xml:space="preserve"> </w:t>
      </w:r>
      <w:proofErr w:type="spellStart"/>
      <w:r w:rsidRPr="00080CC1">
        <w:rPr>
          <w:lang w:val="en-US"/>
        </w:rPr>
        <w:t>Kin’ya</w:t>
      </w:r>
      <w:proofErr w:type="spellEnd"/>
      <w:r w:rsidRPr="00080CC1">
        <w:rPr>
          <w:lang w:val="en-US"/>
        </w:rPr>
        <w:t xml:space="preserve"> </w:t>
      </w:r>
      <w:r w:rsidRPr="00FF7E1B">
        <w:rPr>
          <w:rFonts w:ascii="MS Mincho" w:hAnsi="MS Mincho" w:hint="eastAsia"/>
          <w:sz w:val="20"/>
          <w:szCs w:val="20"/>
        </w:rPr>
        <w:t>浅野欣也</w:t>
      </w:r>
      <w:r w:rsidRPr="00080CC1">
        <w:rPr>
          <w:rFonts w:asciiTheme="minorHAnsi" w:hAnsiTheme="minorHAnsi"/>
          <w:lang w:val="en-US"/>
        </w:rPr>
        <w:t xml:space="preserve"> </w:t>
      </w:r>
      <w:r w:rsidRPr="00080CC1">
        <w:rPr>
          <w:lang w:val="en-US"/>
        </w:rPr>
        <w:t xml:space="preserve">(Hg.): </w:t>
      </w:r>
      <w:r w:rsidRPr="00080CC1">
        <w:rPr>
          <w:i/>
          <w:lang w:val="en-US"/>
        </w:rPr>
        <w:t xml:space="preserve">Haiku </w:t>
      </w:r>
      <w:proofErr w:type="spellStart"/>
      <w:r w:rsidRPr="00080CC1">
        <w:rPr>
          <w:i/>
          <w:lang w:val="en-US"/>
        </w:rPr>
        <w:t>renku</w:t>
      </w:r>
      <w:proofErr w:type="spellEnd"/>
      <w:r w:rsidRPr="00080CC1">
        <w:rPr>
          <w:i/>
          <w:lang w:val="en-US"/>
        </w:rPr>
        <w:t xml:space="preserve"> </w:t>
      </w:r>
      <w:proofErr w:type="spellStart"/>
      <w:r w:rsidRPr="00080CC1">
        <w:rPr>
          <w:i/>
          <w:lang w:val="en-US"/>
        </w:rPr>
        <w:t>ryōhō</w:t>
      </w:r>
      <w:proofErr w:type="spellEnd"/>
      <w:r w:rsidRPr="00080CC1">
        <w:rPr>
          <w:lang w:val="en-US"/>
        </w:rPr>
        <w:t xml:space="preserve"> [</w:t>
      </w:r>
      <w:r w:rsidRPr="00080CC1">
        <w:rPr>
          <w:i/>
          <w:lang w:val="en-US"/>
        </w:rPr>
        <w:t>Haiku</w:t>
      </w:r>
      <w:r w:rsidRPr="00080CC1">
        <w:rPr>
          <w:lang w:val="en-US"/>
        </w:rPr>
        <w:t xml:space="preserve">- und </w:t>
      </w:r>
      <w:proofErr w:type="spellStart"/>
      <w:r w:rsidRPr="00080CC1">
        <w:rPr>
          <w:i/>
          <w:lang w:val="en-US"/>
        </w:rPr>
        <w:t>renku</w:t>
      </w:r>
      <w:r w:rsidRPr="00080CC1">
        <w:rPr>
          <w:lang w:val="en-US"/>
        </w:rPr>
        <w:t>-Therapie</w:t>
      </w:r>
      <w:proofErr w:type="spellEnd"/>
      <w:r w:rsidRPr="00080CC1">
        <w:rPr>
          <w:lang w:val="en-US"/>
        </w:rPr>
        <w:t xml:space="preserve">] </w:t>
      </w:r>
      <w:r w:rsidRPr="00FF7E1B">
        <w:rPr>
          <w:rFonts w:ascii="MS Mincho" w:hAnsi="MS Mincho" w:hint="eastAsia"/>
          <w:sz w:val="20"/>
          <w:szCs w:val="20"/>
        </w:rPr>
        <w:t>俳句</w:t>
      </w:r>
      <w:r w:rsidRPr="00FF7E1B">
        <w:rPr>
          <w:rFonts w:ascii="MS Mincho" w:hAnsi="MS Mincho" w:cs="MS Mincho" w:hint="eastAsia"/>
          <w:sz w:val="20"/>
          <w:szCs w:val="20"/>
        </w:rPr>
        <w:t>・</w:t>
      </w:r>
      <w:r w:rsidRPr="003405EB">
        <w:rPr>
          <w:rFonts w:ascii="MS Mincho" w:hAnsi="MS Mincho" w:cs="SimSun" w:hint="eastAsia"/>
          <w:sz w:val="20"/>
          <w:szCs w:val="20"/>
        </w:rPr>
        <w:t>連句療法</w:t>
      </w:r>
      <w:r w:rsidRPr="00080CC1">
        <w:rPr>
          <w:lang w:val="en-US"/>
        </w:rPr>
        <w:t xml:space="preserve">. </w:t>
      </w:r>
      <w:proofErr w:type="spellStart"/>
      <w:r w:rsidRPr="007D07AE">
        <w:t>Ōsaka</w:t>
      </w:r>
      <w:proofErr w:type="spellEnd"/>
      <w:r>
        <w:t xml:space="preserve">, </w:t>
      </w:r>
      <w:proofErr w:type="spellStart"/>
      <w:r w:rsidRPr="007D07AE">
        <w:t>Tōkyō</w:t>
      </w:r>
      <w:proofErr w:type="spellEnd"/>
      <w:r w:rsidRPr="007D07AE">
        <w:t xml:space="preserve">: </w:t>
      </w:r>
      <w:proofErr w:type="spellStart"/>
      <w:r w:rsidRPr="007D07AE">
        <w:t>Sōgensha</w:t>
      </w:r>
      <w:proofErr w:type="spellEnd"/>
      <w:r w:rsidRPr="007D07AE">
        <w:t>: 206–235.</w:t>
      </w:r>
    </w:p>
    <w:p w14:paraId="001F4255" w14:textId="62CA25B4" w:rsidR="009B38B3" w:rsidRDefault="009B38B3" w:rsidP="00143128">
      <w:pPr>
        <w:pStyle w:val="brAngabeLiteraturverzeichnis"/>
      </w:pPr>
      <w:proofErr w:type="spellStart"/>
      <w:r w:rsidRPr="00B03976">
        <w:rPr>
          <w:smallCaps/>
        </w:rPr>
        <w:t>Bjørnson</w:t>
      </w:r>
      <w:proofErr w:type="spellEnd"/>
      <w:r w:rsidRPr="00B03976">
        <w:t xml:space="preserve">, </w:t>
      </w:r>
      <w:proofErr w:type="spellStart"/>
      <w:r w:rsidRPr="00B03976">
        <w:t>Bjørnstjerne</w:t>
      </w:r>
      <w:proofErr w:type="spellEnd"/>
      <w:r w:rsidRPr="00B03976">
        <w:t xml:space="preserve"> (1869): </w:t>
      </w:r>
      <w:r w:rsidRPr="00B03976">
        <w:rPr>
          <w:i/>
        </w:rPr>
        <w:t>Das Fischermädchen</w:t>
      </w:r>
      <w:r w:rsidRPr="00B03976">
        <w:t xml:space="preserve">. Norwegische Erzählung. Übers. </w:t>
      </w:r>
      <w:r w:rsidR="00801679">
        <w:t xml:space="preserve">von </w:t>
      </w:r>
      <w:r w:rsidRPr="00B03976">
        <w:t xml:space="preserve">August Peters. Bremen: </w:t>
      </w:r>
      <w:proofErr w:type="spellStart"/>
      <w:r w:rsidRPr="00B03976">
        <w:t>Kühtmann</w:t>
      </w:r>
      <w:proofErr w:type="spellEnd"/>
      <w:r w:rsidRPr="00B03976">
        <w:t>.</w:t>
      </w:r>
    </w:p>
    <w:p w14:paraId="531FBCE6" w14:textId="50554291" w:rsidR="007F211B" w:rsidRPr="00B03976" w:rsidRDefault="007F211B" w:rsidP="00143128">
      <w:pPr>
        <w:pStyle w:val="brAngabeLiteraturverzeichnis"/>
      </w:pPr>
      <w:bookmarkStart w:id="22" w:name="_Hlk507351286"/>
      <w:r w:rsidRPr="0030462C">
        <w:rPr>
          <w:i/>
          <w:lang w:eastAsia="ja-JP"/>
        </w:rPr>
        <w:lastRenderedPageBreak/>
        <w:t xml:space="preserve">Daihatsu </w:t>
      </w:r>
      <w:proofErr w:type="spellStart"/>
      <w:r w:rsidRPr="0030462C">
        <w:rPr>
          <w:i/>
          <w:lang w:eastAsia="ja-JP"/>
        </w:rPr>
        <w:t>nehan</w:t>
      </w:r>
      <w:proofErr w:type="spellEnd"/>
      <w:r w:rsidRPr="0030462C">
        <w:rPr>
          <w:i/>
          <w:lang w:eastAsia="ja-JP"/>
        </w:rPr>
        <w:t xml:space="preserve"> </w:t>
      </w:r>
      <w:proofErr w:type="spellStart"/>
      <w:r w:rsidRPr="0030462C">
        <w:rPr>
          <w:i/>
          <w:lang w:eastAsia="ja-JP"/>
        </w:rPr>
        <w:t>gyō</w:t>
      </w:r>
      <w:proofErr w:type="spellEnd"/>
      <w:r w:rsidRPr="0030462C">
        <w:rPr>
          <w:lang w:eastAsia="ja-JP"/>
        </w:rPr>
        <w:t xml:space="preserve"> </w:t>
      </w:r>
      <w:bookmarkStart w:id="23" w:name="_Hlk507429827"/>
      <w:r w:rsidR="00532A3B" w:rsidRPr="00A85CAB">
        <w:rPr>
          <w:lang w:eastAsia="ja-JP"/>
        </w:rPr>
        <w:t>[</w:t>
      </w:r>
      <w:proofErr w:type="spellStart"/>
      <w:r w:rsidR="00144A1E" w:rsidRPr="00DF207D">
        <w:t>Mahāyāna</w:t>
      </w:r>
      <w:proofErr w:type="spellEnd"/>
      <w:r w:rsidR="00144A1E" w:rsidRPr="00DF207D">
        <w:t xml:space="preserve"> </w:t>
      </w:r>
      <w:proofErr w:type="spellStart"/>
      <w:r w:rsidR="00144A1E" w:rsidRPr="00DF207D">
        <w:t>Mahāparinirvāṇa</w:t>
      </w:r>
      <w:proofErr w:type="spellEnd"/>
      <w:r w:rsidR="00144A1E" w:rsidRPr="00DF207D">
        <w:t xml:space="preserve"> </w:t>
      </w:r>
      <w:proofErr w:type="spellStart"/>
      <w:r w:rsidR="00144A1E" w:rsidRPr="00DF207D">
        <w:t>Sūtra</w:t>
      </w:r>
      <w:proofErr w:type="spellEnd"/>
      <w:r w:rsidR="00532A3B" w:rsidRPr="008A142F">
        <w:rPr>
          <w:lang w:eastAsia="ja-JP"/>
        </w:rPr>
        <w:t>]</w:t>
      </w:r>
      <w:bookmarkEnd w:id="23"/>
      <w:r w:rsidR="00532A3B" w:rsidRPr="008A142F">
        <w:rPr>
          <w:lang w:eastAsia="ja-JP"/>
        </w:rPr>
        <w:t xml:space="preserve"> </w:t>
      </w:r>
      <w:r w:rsidRPr="0030462C">
        <w:rPr>
          <w:rFonts w:hint="eastAsia"/>
          <w:sz w:val="20"/>
          <w:szCs w:val="20"/>
          <w:lang w:eastAsia="ja-JP"/>
        </w:rPr>
        <w:t>大般涅槃經</w:t>
      </w:r>
      <w:r w:rsidRPr="00CE3CF5">
        <w:rPr>
          <w:lang w:eastAsia="ja-JP"/>
        </w:rPr>
        <w:t xml:space="preserve"> (2012). Übers. von </w:t>
      </w:r>
      <w:proofErr w:type="spellStart"/>
      <w:r w:rsidRPr="00CE3CF5">
        <w:rPr>
          <w:rFonts w:cs="MS Mincho"/>
          <w:lang w:eastAsia="ja-JP"/>
        </w:rPr>
        <w:t>Dharmakṣema</w:t>
      </w:r>
      <w:proofErr w:type="spellEnd"/>
      <w:r w:rsidRPr="00CE3CF5">
        <w:rPr>
          <w:rFonts w:cs="MS Mincho"/>
          <w:lang w:eastAsia="ja-JP"/>
        </w:rPr>
        <w:t xml:space="preserve"> (</w:t>
      </w:r>
      <w:proofErr w:type="spellStart"/>
      <w:r w:rsidRPr="00CE3CF5">
        <w:rPr>
          <w:rFonts w:cs="MS Mincho"/>
          <w:lang w:eastAsia="ja-JP"/>
        </w:rPr>
        <w:t>Tánmóchèn</w:t>
      </w:r>
      <w:proofErr w:type="spellEnd"/>
      <w:r w:rsidRPr="00CE3CF5">
        <w:rPr>
          <w:rFonts w:cs="MS Mincho"/>
          <w:lang w:eastAsia="ja-JP"/>
        </w:rPr>
        <w:t xml:space="preserve"> </w:t>
      </w:r>
      <w:r w:rsidRPr="00CE3CF5">
        <w:rPr>
          <w:rFonts w:ascii="MS Mincho" w:cs="MS Mincho"/>
          <w:sz w:val="20"/>
          <w:szCs w:val="20"/>
          <w:lang w:eastAsia="ja-JP"/>
        </w:rPr>
        <w:t>曇無讖</w:t>
      </w:r>
      <w:r w:rsidRPr="00CE3CF5">
        <w:rPr>
          <w:rFonts w:cs="MS Mincho"/>
          <w:lang w:eastAsia="ja-JP"/>
        </w:rPr>
        <w:t xml:space="preserve">, jap. </w:t>
      </w:r>
      <w:proofErr w:type="spellStart"/>
      <w:r w:rsidRPr="00CE3CF5">
        <w:rPr>
          <w:rFonts w:cs="MS Mincho"/>
          <w:lang w:eastAsia="ja-JP"/>
        </w:rPr>
        <w:t>Donmusen</w:t>
      </w:r>
      <w:proofErr w:type="spellEnd"/>
      <w:r w:rsidRPr="00CE3CF5">
        <w:rPr>
          <w:rFonts w:cs="MS Mincho"/>
          <w:lang w:eastAsia="ja-JP"/>
        </w:rPr>
        <w:t>)</w:t>
      </w:r>
      <w:r w:rsidRPr="00CE3CF5">
        <w:rPr>
          <w:lang w:eastAsia="ja-JP"/>
        </w:rPr>
        <w:t>. In: T 374, Bd. 12: 365c, Z. 3 ‒ 603c, Z. 25.</w:t>
      </w:r>
      <w:bookmarkEnd w:id="22"/>
    </w:p>
    <w:p w14:paraId="4A40541A" w14:textId="7A7C3F35" w:rsidR="009B38B3" w:rsidRPr="00B03976" w:rsidRDefault="009B38B3" w:rsidP="00143128">
      <w:pPr>
        <w:pStyle w:val="brAngabeLiteraturverzeichnis"/>
        <w:rPr>
          <w:lang w:eastAsia="ja-JP"/>
        </w:rPr>
      </w:pPr>
      <w:bookmarkStart w:id="24" w:name="_ENREF_10"/>
      <w:proofErr w:type="spellStart"/>
      <w:r w:rsidRPr="00B03976">
        <w:rPr>
          <w:smallCaps/>
        </w:rPr>
        <w:t>Fukuzawa</w:t>
      </w:r>
      <w:proofErr w:type="spellEnd"/>
      <w:r w:rsidRPr="00B03976">
        <w:t xml:space="preserve">, </w:t>
      </w:r>
      <w:proofErr w:type="spellStart"/>
      <w:r w:rsidRPr="00B03976">
        <w:t>Yukichi</w:t>
      </w:r>
      <w:proofErr w:type="spellEnd"/>
      <w:r w:rsidRPr="00B03976">
        <w:t xml:space="preserve"> </w:t>
      </w:r>
      <w:r w:rsidRPr="00B03976">
        <w:rPr>
          <w:rFonts w:ascii="MS Mincho" w:hAnsi="MS Mincho"/>
          <w:sz w:val="20"/>
          <w:szCs w:val="20"/>
          <w:lang w:eastAsia="ja-JP"/>
        </w:rPr>
        <w:t>福沢諭吉</w:t>
      </w:r>
      <w:r w:rsidRPr="00B03976">
        <w:t xml:space="preserve"> (1880): </w:t>
      </w:r>
      <w:proofErr w:type="spellStart"/>
      <w:r w:rsidRPr="0094640A">
        <w:rPr>
          <w:i/>
        </w:rPr>
        <w:t>Gakumon</w:t>
      </w:r>
      <w:proofErr w:type="spellEnd"/>
      <w:r w:rsidRPr="0094640A">
        <w:rPr>
          <w:i/>
        </w:rPr>
        <w:t xml:space="preserve"> </w:t>
      </w:r>
      <w:proofErr w:type="spellStart"/>
      <w:r w:rsidRPr="0094640A">
        <w:rPr>
          <w:i/>
        </w:rPr>
        <w:t>no</w:t>
      </w:r>
      <w:proofErr w:type="spellEnd"/>
      <w:r w:rsidRPr="0094640A">
        <w:rPr>
          <w:i/>
        </w:rPr>
        <w:t xml:space="preserve"> </w:t>
      </w:r>
      <w:proofErr w:type="spellStart"/>
      <w:r w:rsidRPr="0094640A">
        <w:rPr>
          <w:i/>
        </w:rPr>
        <w:t>susume</w:t>
      </w:r>
      <w:proofErr w:type="spellEnd"/>
      <w:r w:rsidR="006B5C69">
        <w:t xml:space="preserve"> [</w:t>
      </w:r>
      <w:r w:rsidR="00647E56">
        <w:t>Ermunterung zum Lernen</w:t>
      </w:r>
      <w:r w:rsidR="006B5C69">
        <w:t>]</w:t>
      </w:r>
      <w:r w:rsidRPr="00B03976">
        <w:rPr>
          <w:i/>
        </w:rPr>
        <w:t xml:space="preserve"> </w:t>
      </w:r>
      <w:r w:rsidRPr="00B03976">
        <w:rPr>
          <w:rFonts w:ascii="MS Mincho" w:hAnsi="MS Mincho"/>
          <w:sz w:val="20"/>
          <w:szCs w:val="20"/>
          <w:lang w:eastAsia="ja-JP"/>
        </w:rPr>
        <w:t>学問ノススメ</w:t>
      </w:r>
      <w:r w:rsidRPr="00B03976">
        <w:rPr>
          <w:lang w:eastAsia="ja-JP"/>
        </w:rPr>
        <w:t>. In: KDR. http://kindai.ndl.go.jp/info:ndljp/pid/808242 (zuletzt aufgerufen:</w:t>
      </w:r>
      <w:r w:rsidR="007168AE">
        <w:rPr>
          <w:lang w:eastAsia="ja-JP"/>
        </w:rPr>
        <w:t xml:space="preserve"> 24.02.2018)</w:t>
      </w:r>
      <w:r w:rsidRPr="00B03976">
        <w:rPr>
          <w:lang w:eastAsia="ja-JP"/>
        </w:rPr>
        <w:t>.</w:t>
      </w:r>
    </w:p>
    <w:p w14:paraId="20E73D25" w14:textId="77777777" w:rsidR="009B38B3" w:rsidRPr="00974831" w:rsidRDefault="009B38B3" w:rsidP="00143128">
      <w:pPr>
        <w:pStyle w:val="brAngabeLiteraturverzeichnis"/>
        <w:rPr>
          <w:lang w:val="en-US"/>
        </w:rPr>
      </w:pPr>
      <w:proofErr w:type="spellStart"/>
      <w:r w:rsidRPr="00B03976">
        <w:rPr>
          <w:smallCaps/>
        </w:rPr>
        <w:t>Mishima</w:t>
      </w:r>
      <w:bookmarkEnd w:id="24"/>
      <w:proofErr w:type="spellEnd"/>
      <w:r w:rsidRPr="00B03976">
        <w:t xml:space="preserve">, Yukio (1987 [1960]): </w:t>
      </w:r>
      <w:r w:rsidRPr="00B03976">
        <w:rPr>
          <w:i/>
          <w:iCs/>
        </w:rPr>
        <w:t>Patriotismus</w:t>
      </w:r>
      <w:r w:rsidRPr="00B03976">
        <w:t xml:space="preserve">. Deutsch von Ulla Hengst und Wulf Teichmann. </w:t>
      </w:r>
      <w:r w:rsidRPr="00974831">
        <w:rPr>
          <w:lang w:val="en-US"/>
        </w:rPr>
        <w:t>Berlin: Alexander.</w:t>
      </w:r>
    </w:p>
    <w:p w14:paraId="6221722E" w14:textId="772BF625" w:rsidR="009B38B3" w:rsidRDefault="009B38B3" w:rsidP="00143128">
      <w:pPr>
        <w:pStyle w:val="brAngabeLiteraturverzeichnis"/>
        <w:rPr>
          <w:lang w:val="en-US"/>
        </w:rPr>
      </w:pPr>
      <w:r w:rsidRPr="00974831">
        <w:rPr>
          <w:smallCaps/>
          <w:lang w:val="en-US"/>
        </w:rPr>
        <w:t>Mishima</w:t>
      </w:r>
      <w:r w:rsidRPr="00974831">
        <w:rPr>
          <w:lang w:val="en-US"/>
        </w:rPr>
        <w:t xml:space="preserve">, Yukio, </w:t>
      </w:r>
      <w:proofErr w:type="spellStart"/>
      <w:r w:rsidRPr="00974831">
        <w:rPr>
          <w:smallCaps/>
          <w:lang w:val="en-US"/>
        </w:rPr>
        <w:t>Domoto</w:t>
      </w:r>
      <w:proofErr w:type="spellEnd"/>
      <w:r w:rsidRPr="00974831">
        <w:rPr>
          <w:lang w:val="en-US"/>
        </w:rPr>
        <w:t xml:space="preserve">, Masaki (2008 [1966]): </w:t>
      </w:r>
      <w:r w:rsidRPr="00974831">
        <w:rPr>
          <w:i/>
          <w:lang w:val="en-US"/>
        </w:rPr>
        <w:t>Patriotism</w:t>
      </w:r>
      <w:r w:rsidRPr="00974831">
        <w:rPr>
          <w:lang w:val="en-US"/>
        </w:rPr>
        <w:t>. DVD, Criterion series, RLJ Entertainment.</w:t>
      </w:r>
    </w:p>
    <w:p w14:paraId="2ECB4E68" w14:textId="77777777" w:rsidR="009B38B3" w:rsidRPr="00125EDC" w:rsidRDefault="009B38B3" w:rsidP="0053292A">
      <w:pPr>
        <w:pStyle w:val="brberschriftEbene2ohneNummerierung"/>
      </w:pPr>
      <w:bookmarkStart w:id="25" w:name="_Toc379738262"/>
      <w:r w:rsidRPr="00125EDC">
        <w:t>Sekundä</w:t>
      </w:r>
      <w:bookmarkEnd w:id="25"/>
      <w:r w:rsidRPr="00125EDC">
        <w:t>rquellen</w:t>
      </w:r>
    </w:p>
    <w:p w14:paraId="488BC6F8" w14:textId="77777777" w:rsidR="009B38B3" w:rsidRPr="00C82C80" w:rsidRDefault="009B38B3" w:rsidP="00143128">
      <w:pPr>
        <w:pStyle w:val="brAngabeLiteraturverzeichnis"/>
      </w:pPr>
      <w:r w:rsidRPr="00C82C80">
        <w:rPr>
          <w:smallCaps/>
        </w:rPr>
        <w:t>Becker</w:t>
      </w:r>
      <w:r w:rsidRPr="00C82C80">
        <w:t xml:space="preserve">, Hans-Joachim (1983): </w:t>
      </w:r>
      <w:r w:rsidRPr="00F56FC3">
        <w:t xml:space="preserve">Die frühe Nietzsche-Rezeption in Japan (1893–1903). Ein Beitrag zur </w:t>
      </w:r>
      <w:proofErr w:type="spellStart"/>
      <w:r w:rsidRPr="00F56FC3">
        <w:t>Individualismusproblematik</w:t>
      </w:r>
      <w:proofErr w:type="spellEnd"/>
      <w:r w:rsidRPr="00F56FC3">
        <w:t xml:space="preserve"> im Modernisierungsprozess</w:t>
      </w:r>
      <w:r w:rsidRPr="00C82C80">
        <w:t>. Wiesbaden: Harrassowitz.</w:t>
      </w:r>
    </w:p>
    <w:p w14:paraId="355CF41B" w14:textId="23D108DB" w:rsidR="009B38B3" w:rsidRPr="00C82C80" w:rsidRDefault="009B38B3" w:rsidP="00143128">
      <w:pPr>
        <w:pStyle w:val="brAngabeLiteraturverzeichnis"/>
      </w:pPr>
      <w:proofErr w:type="spellStart"/>
      <w:r w:rsidRPr="00C82C80">
        <w:rPr>
          <w:smallCaps/>
        </w:rPr>
        <w:t>Bowring</w:t>
      </w:r>
      <w:proofErr w:type="spellEnd"/>
      <w:r w:rsidRPr="00C82C80">
        <w:t xml:space="preserve">, Richard John (1975): „The Background </w:t>
      </w:r>
      <w:proofErr w:type="spellStart"/>
      <w:r w:rsidRPr="00C82C80">
        <w:t>to</w:t>
      </w:r>
      <w:proofErr w:type="spellEnd"/>
      <w:r w:rsidRPr="00C82C80">
        <w:t xml:space="preserve"> </w:t>
      </w:r>
      <w:proofErr w:type="spellStart"/>
      <w:r w:rsidRPr="00C82C80">
        <w:t>Maihime</w:t>
      </w:r>
      <w:proofErr w:type="spellEnd"/>
      <w:r w:rsidRPr="00C82C80">
        <w:t xml:space="preserve">”. In: </w:t>
      </w:r>
      <w:r w:rsidRPr="003347F3">
        <w:rPr>
          <w:iCs/>
        </w:rPr>
        <w:t>MN</w:t>
      </w:r>
      <w:r w:rsidR="003347F3">
        <w:rPr>
          <w:iCs/>
        </w:rPr>
        <w:t>. Bd.</w:t>
      </w:r>
      <w:r w:rsidRPr="003347F3">
        <w:rPr>
          <w:iCs/>
        </w:rPr>
        <w:t xml:space="preserve"> </w:t>
      </w:r>
      <w:r w:rsidRPr="003347F3">
        <w:t>30</w:t>
      </w:r>
      <w:r w:rsidR="003347F3">
        <w:t>, Nr</w:t>
      </w:r>
      <w:r w:rsidRPr="003347F3">
        <w:t>.</w:t>
      </w:r>
      <w:r w:rsidR="003347F3">
        <w:t xml:space="preserve"> </w:t>
      </w:r>
      <w:r w:rsidRPr="003347F3">
        <w:t>2</w:t>
      </w:r>
      <w:r w:rsidRPr="00C82C80">
        <w:t>: 167–176.</w:t>
      </w:r>
    </w:p>
    <w:p w14:paraId="4A0D8BBF" w14:textId="77777777" w:rsidR="009B38B3" w:rsidRPr="00C82C80" w:rsidRDefault="009B38B3" w:rsidP="00143128">
      <w:pPr>
        <w:pStyle w:val="brAngabeLiteraturverzeichnis"/>
      </w:pPr>
      <w:bookmarkStart w:id="26" w:name="_ENREF_3"/>
      <w:proofErr w:type="spellStart"/>
      <w:r w:rsidRPr="00C82C80">
        <w:rPr>
          <w:smallCaps/>
        </w:rPr>
        <w:t>Danno</w:t>
      </w:r>
      <w:proofErr w:type="spellEnd"/>
      <w:r w:rsidRPr="00C82C80">
        <w:t xml:space="preserve">, </w:t>
      </w:r>
      <w:proofErr w:type="spellStart"/>
      <w:r w:rsidRPr="00C82C80">
        <w:t>Mitsuharu</w:t>
      </w:r>
      <w:proofErr w:type="spellEnd"/>
      <w:r w:rsidRPr="00C82C80">
        <w:t xml:space="preserve"> </w:t>
      </w:r>
      <w:r w:rsidRPr="00632054">
        <w:rPr>
          <w:rFonts w:ascii="MS Mincho" w:hAnsi="MS Mincho"/>
          <w:sz w:val="20"/>
          <w:szCs w:val="20"/>
          <w:lang w:eastAsia="ja-JP"/>
        </w:rPr>
        <w:t>團野光晴</w:t>
      </w:r>
      <w:r w:rsidRPr="00C82C80">
        <w:t xml:space="preserve"> (2012): „</w:t>
      </w:r>
      <w:proofErr w:type="spellStart"/>
      <w:r w:rsidRPr="00C82C80">
        <w:t>Mishima</w:t>
      </w:r>
      <w:proofErr w:type="spellEnd"/>
      <w:r w:rsidRPr="00C82C80">
        <w:t xml:space="preserve"> Yukio </w:t>
      </w:r>
      <w:proofErr w:type="spellStart"/>
      <w:r w:rsidRPr="00C82C80">
        <w:t>kara</w:t>
      </w:r>
      <w:proofErr w:type="spellEnd"/>
      <w:r w:rsidRPr="00C82C80">
        <w:t xml:space="preserve"> </w:t>
      </w:r>
      <w:proofErr w:type="spellStart"/>
      <w:r w:rsidRPr="00C82C80">
        <w:t>Ōe</w:t>
      </w:r>
      <w:proofErr w:type="spellEnd"/>
      <w:r w:rsidRPr="00C82C80">
        <w:t xml:space="preserve"> </w:t>
      </w:r>
      <w:proofErr w:type="spellStart"/>
      <w:r w:rsidRPr="00C82C80">
        <w:t>Kenzaburō</w:t>
      </w:r>
      <w:proofErr w:type="spellEnd"/>
      <w:r w:rsidRPr="00C82C80">
        <w:t xml:space="preserve"> e: </w:t>
      </w:r>
      <w:proofErr w:type="spellStart"/>
      <w:r w:rsidRPr="00C82C80">
        <w:t>sengoteki</w:t>
      </w:r>
      <w:proofErr w:type="spellEnd"/>
      <w:r w:rsidRPr="00C82C80">
        <w:t xml:space="preserve"> </w:t>
      </w:r>
      <w:proofErr w:type="spellStart"/>
      <w:r w:rsidRPr="00C82C80">
        <w:t>riarizumu</w:t>
      </w:r>
      <w:proofErr w:type="spellEnd"/>
      <w:r w:rsidRPr="00C82C80">
        <w:t xml:space="preserve"> o </w:t>
      </w:r>
      <w:proofErr w:type="spellStart"/>
      <w:r w:rsidRPr="00C82C80">
        <w:t>megutte</w:t>
      </w:r>
      <w:proofErr w:type="spellEnd"/>
      <w:r w:rsidRPr="00C82C80">
        <w:t xml:space="preserve"> [Von </w:t>
      </w:r>
      <w:proofErr w:type="spellStart"/>
      <w:r w:rsidRPr="00C82C80">
        <w:t>Mishima</w:t>
      </w:r>
      <w:proofErr w:type="spellEnd"/>
      <w:r w:rsidRPr="00C82C80">
        <w:t xml:space="preserve"> Yukio zu </w:t>
      </w:r>
      <w:proofErr w:type="spellStart"/>
      <w:r w:rsidRPr="00C82C80">
        <w:t>Ōe</w:t>
      </w:r>
      <w:proofErr w:type="spellEnd"/>
      <w:r w:rsidRPr="00C82C80">
        <w:t xml:space="preserve"> </w:t>
      </w:r>
      <w:proofErr w:type="spellStart"/>
      <w:r w:rsidRPr="00C82C80">
        <w:t>Kenzaburō</w:t>
      </w:r>
      <w:proofErr w:type="spellEnd"/>
      <w:r w:rsidRPr="00C82C80">
        <w:t xml:space="preserve">: Zum Realismus der Nachkriegszeit] </w:t>
      </w:r>
      <w:r w:rsidRPr="00632054">
        <w:rPr>
          <w:rFonts w:ascii="MS Mincho" w:hAnsi="MS Mincho"/>
          <w:sz w:val="20"/>
          <w:szCs w:val="20"/>
          <w:lang w:eastAsia="ja-JP"/>
        </w:rPr>
        <w:t>三島由紀夫から大江健三郎へ: 戦後的リアリズムをめぐって</w:t>
      </w:r>
      <w:r w:rsidRPr="00C82C80">
        <w:t xml:space="preserve">“. In: </w:t>
      </w:r>
      <w:r w:rsidRPr="00F56FC3">
        <w:t xml:space="preserve">Kanazawa </w:t>
      </w:r>
      <w:proofErr w:type="spellStart"/>
      <w:r w:rsidRPr="00F56FC3">
        <w:t>daigaku</w:t>
      </w:r>
      <w:proofErr w:type="spellEnd"/>
      <w:r w:rsidRPr="00F56FC3">
        <w:t xml:space="preserve"> </w:t>
      </w:r>
      <w:proofErr w:type="spellStart"/>
      <w:r w:rsidRPr="00F56FC3">
        <w:t>kokugo</w:t>
      </w:r>
      <w:proofErr w:type="spellEnd"/>
      <w:r w:rsidRPr="00F56FC3">
        <w:t xml:space="preserve"> </w:t>
      </w:r>
      <w:proofErr w:type="spellStart"/>
      <w:r w:rsidRPr="00F56FC3">
        <w:t>kokubun</w:t>
      </w:r>
      <w:proofErr w:type="spellEnd"/>
      <w:r w:rsidRPr="00F56FC3">
        <w:t xml:space="preserve"> 37</w:t>
      </w:r>
      <w:r w:rsidRPr="00C82C80">
        <w:t xml:space="preserve"> </w:t>
      </w:r>
      <w:r w:rsidRPr="00AC1AE7">
        <w:rPr>
          <w:sz w:val="20"/>
          <w:szCs w:val="20"/>
        </w:rPr>
        <w:t>金沢大学国語国文</w:t>
      </w:r>
      <w:r w:rsidRPr="00C82C80">
        <w:t xml:space="preserve"> 37: 125–136.</w:t>
      </w:r>
      <w:bookmarkEnd w:id="26"/>
    </w:p>
    <w:p w14:paraId="04B6F35C" w14:textId="538C4F85" w:rsidR="009B38B3" w:rsidRPr="00C82C80" w:rsidRDefault="009B38B3" w:rsidP="00143128">
      <w:pPr>
        <w:pStyle w:val="brAngabeLiteraturverzeichnis"/>
      </w:pPr>
      <w:proofErr w:type="spellStart"/>
      <w:r w:rsidRPr="00C82C80">
        <w:rPr>
          <w:iCs/>
          <w:smallCaps/>
        </w:rPr>
        <w:t>Häsner</w:t>
      </w:r>
      <w:proofErr w:type="spellEnd"/>
      <w:r w:rsidRPr="00C82C80">
        <w:rPr>
          <w:smallCaps/>
        </w:rPr>
        <w:t xml:space="preserve">, </w:t>
      </w:r>
      <w:r w:rsidRPr="00C82C80">
        <w:t>Bernd,</w:t>
      </w:r>
      <w:r w:rsidRPr="00C82C80">
        <w:rPr>
          <w:smallCaps/>
        </w:rPr>
        <w:t xml:space="preserve"> </w:t>
      </w:r>
      <w:r w:rsidRPr="00C82C80">
        <w:t>Henning S.</w:t>
      </w:r>
      <w:r w:rsidRPr="00C82C80">
        <w:rPr>
          <w:smallCaps/>
        </w:rPr>
        <w:t xml:space="preserve"> Hufnagel</w:t>
      </w:r>
      <w:r w:rsidRPr="00C82C80">
        <w:t xml:space="preserve"> </w:t>
      </w:r>
      <w:r w:rsidR="0042028F" w:rsidRPr="00FF7E1B">
        <w:t>et al.</w:t>
      </w:r>
      <w:r w:rsidR="0042028F">
        <w:t xml:space="preserve"> </w:t>
      </w:r>
      <w:r w:rsidRPr="00C82C80">
        <w:t xml:space="preserve">(2011): „Text und Performativität“. In: </w:t>
      </w:r>
      <w:proofErr w:type="spellStart"/>
      <w:r w:rsidRPr="00C82C80">
        <w:rPr>
          <w:smallCaps/>
        </w:rPr>
        <w:t>Hempfer</w:t>
      </w:r>
      <w:proofErr w:type="spellEnd"/>
      <w:r w:rsidRPr="00C82C80">
        <w:t xml:space="preserve">, Klaus W., Jörg </w:t>
      </w:r>
      <w:proofErr w:type="spellStart"/>
      <w:r w:rsidRPr="00C82C80">
        <w:rPr>
          <w:smallCaps/>
        </w:rPr>
        <w:t>Volbers</w:t>
      </w:r>
      <w:proofErr w:type="spellEnd"/>
      <w:r w:rsidRPr="00C82C80">
        <w:t xml:space="preserve"> (</w:t>
      </w:r>
      <w:proofErr w:type="spellStart"/>
      <w:r w:rsidRPr="00C82C80">
        <w:t>Hg</w:t>
      </w:r>
      <w:proofErr w:type="spellEnd"/>
      <w:r w:rsidRPr="00C82C80">
        <w:t xml:space="preserve">.): </w:t>
      </w:r>
      <w:r w:rsidRPr="00F56FC3">
        <w:t>Theorien des Performativen: Sprache – Wissen – Praxis. Eine kritische Bestandsaufnahme</w:t>
      </w:r>
      <w:r w:rsidRPr="00C82C80">
        <w:t xml:space="preserve">. Bielefeld: </w:t>
      </w:r>
      <w:proofErr w:type="spellStart"/>
      <w:r w:rsidRPr="00C82C80">
        <w:t>Transcript</w:t>
      </w:r>
      <w:proofErr w:type="spellEnd"/>
      <w:r w:rsidRPr="00C82C80">
        <w:t>: 69–96.</w:t>
      </w:r>
    </w:p>
    <w:p w14:paraId="79A2C325" w14:textId="172A32C4" w:rsidR="009B38B3" w:rsidRPr="00C82C80" w:rsidRDefault="009B38B3" w:rsidP="00143128">
      <w:pPr>
        <w:pStyle w:val="brAngabeLiteraturverzeichnis"/>
      </w:pPr>
      <w:proofErr w:type="spellStart"/>
      <w:r w:rsidRPr="00C82C80">
        <w:rPr>
          <w:iCs/>
          <w:smallCaps/>
        </w:rPr>
        <w:t>Jōdaigo</w:t>
      </w:r>
      <w:proofErr w:type="spellEnd"/>
      <w:r w:rsidRPr="00C82C80">
        <w:rPr>
          <w:iCs/>
          <w:smallCaps/>
        </w:rPr>
        <w:t xml:space="preserve"> </w:t>
      </w:r>
      <w:proofErr w:type="spellStart"/>
      <w:r w:rsidRPr="00C82C80">
        <w:rPr>
          <w:iCs/>
          <w:smallCaps/>
        </w:rPr>
        <w:t>jiten</w:t>
      </w:r>
      <w:proofErr w:type="spellEnd"/>
      <w:r w:rsidRPr="00C82C80">
        <w:rPr>
          <w:iCs/>
          <w:smallCaps/>
        </w:rPr>
        <w:t xml:space="preserve"> </w:t>
      </w:r>
      <w:proofErr w:type="spellStart"/>
      <w:r w:rsidRPr="00C82C80">
        <w:rPr>
          <w:iCs/>
          <w:smallCaps/>
        </w:rPr>
        <w:t>henshū</w:t>
      </w:r>
      <w:proofErr w:type="spellEnd"/>
      <w:r w:rsidRPr="00C82C80">
        <w:rPr>
          <w:iCs/>
          <w:smallCaps/>
        </w:rPr>
        <w:t xml:space="preserve"> </w:t>
      </w:r>
      <w:proofErr w:type="spellStart"/>
      <w:r w:rsidRPr="00C82C80">
        <w:rPr>
          <w:iCs/>
          <w:smallCaps/>
        </w:rPr>
        <w:t>iinkai</w:t>
      </w:r>
      <w:proofErr w:type="spellEnd"/>
      <w:r w:rsidRPr="00C82C80">
        <w:t xml:space="preserve"> </w:t>
      </w:r>
      <w:proofErr w:type="spellStart"/>
      <w:r w:rsidRPr="00AC1AE7">
        <w:rPr>
          <w:rFonts w:cs="Arial"/>
          <w:sz w:val="20"/>
          <w:szCs w:val="20"/>
          <w:lang w:eastAsia="en-US"/>
        </w:rPr>
        <w:t>上代語辞典編集委員会</w:t>
      </w:r>
      <w:proofErr w:type="spellEnd"/>
      <w:r w:rsidRPr="00C82C80">
        <w:t xml:space="preserve"> (</w:t>
      </w:r>
      <w:proofErr w:type="spellStart"/>
      <w:r w:rsidRPr="00C82C80">
        <w:t>Hg</w:t>
      </w:r>
      <w:proofErr w:type="spellEnd"/>
      <w:r w:rsidRPr="00C82C80">
        <w:t xml:space="preserve">.) (1967): </w:t>
      </w:r>
      <w:proofErr w:type="spellStart"/>
      <w:r w:rsidRPr="00EE2EBE">
        <w:t>Jidaibetsu</w:t>
      </w:r>
      <w:proofErr w:type="spellEnd"/>
      <w:r w:rsidRPr="00EE2EBE">
        <w:t xml:space="preserve"> </w:t>
      </w:r>
      <w:proofErr w:type="spellStart"/>
      <w:r w:rsidRPr="00EE2EBE">
        <w:t>kokugo</w:t>
      </w:r>
      <w:proofErr w:type="spellEnd"/>
      <w:r w:rsidRPr="00EE2EBE">
        <w:t xml:space="preserve"> </w:t>
      </w:r>
      <w:proofErr w:type="spellStart"/>
      <w:r w:rsidRPr="00EE2EBE">
        <w:t>daijiten</w:t>
      </w:r>
      <w:proofErr w:type="spellEnd"/>
      <w:r w:rsidRPr="00EE2EBE">
        <w:t xml:space="preserve">: </w:t>
      </w:r>
      <w:proofErr w:type="spellStart"/>
      <w:r w:rsidRPr="00EE2EBE">
        <w:t>Jōdaihen</w:t>
      </w:r>
      <w:proofErr w:type="spellEnd"/>
      <w:r w:rsidRPr="00EE2EBE">
        <w:t xml:space="preserve"> </w:t>
      </w:r>
      <w:bookmarkStart w:id="27" w:name="_Hlk23717909"/>
      <w:r w:rsidR="009A4570" w:rsidRPr="00EE2EBE">
        <w:t>[</w:t>
      </w:r>
      <w:r w:rsidR="00EE2EBE" w:rsidRPr="00EE2EBE">
        <w:t>Großes Wörterbuch der japanischen Sprache, nach Epochen unterteilt: Altertum]</w:t>
      </w:r>
      <w:bookmarkEnd w:id="27"/>
      <w:r w:rsidR="00EE2EBE" w:rsidRPr="00EE2EBE">
        <w:t xml:space="preserve"> </w:t>
      </w:r>
      <w:proofErr w:type="spellStart"/>
      <w:r w:rsidRPr="00EE2EBE">
        <w:rPr>
          <w:rFonts w:cs="Arial" w:hint="eastAsia"/>
          <w:sz w:val="20"/>
          <w:szCs w:val="20"/>
          <w:lang w:eastAsia="en-US"/>
        </w:rPr>
        <w:t>時代別国語大辞典</w:t>
      </w:r>
      <w:proofErr w:type="spellEnd"/>
      <w:r w:rsidRPr="00EE2EBE">
        <w:rPr>
          <w:rFonts w:cs="Arial" w:hint="eastAsia"/>
          <w:sz w:val="20"/>
          <w:szCs w:val="20"/>
          <w:lang w:eastAsia="en-US"/>
        </w:rPr>
        <w:t xml:space="preserve">　</w:t>
      </w:r>
      <w:proofErr w:type="spellStart"/>
      <w:r w:rsidRPr="00EE2EBE">
        <w:rPr>
          <w:rFonts w:cs="Arial" w:hint="eastAsia"/>
          <w:sz w:val="20"/>
          <w:szCs w:val="20"/>
          <w:lang w:eastAsia="en-US"/>
        </w:rPr>
        <w:t>上代編</w:t>
      </w:r>
      <w:proofErr w:type="spellEnd"/>
      <w:r w:rsidRPr="00C82C80">
        <w:t xml:space="preserve">. </w:t>
      </w:r>
      <w:proofErr w:type="spellStart"/>
      <w:r w:rsidRPr="00C82C80">
        <w:t>Tōkyō</w:t>
      </w:r>
      <w:proofErr w:type="spellEnd"/>
      <w:r w:rsidRPr="00C82C80">
        <w:t xml:space="preserve">: </w:t>
      </w:r>
      <w:proofErr w:type="spellStart"/>
      <w:r w:rsidRPr="00C82C80">
        <w:t>Sanseidō</w:t>
      </w:r>
      <w:proofErr w:type="spellEnd"/>
      <w:r w:rsidRPr="00C82C80">
        <w:t>.</w:t>
      </w:r>
    </w:p>
    <w:p w14:paraId="74256184" w14:textId="77777777" w:rsidR="009B38B3" w:rsidRPr="00C82C80" w:rsidRDefault="009B38B3" w:rsidP="00143128">
      <w:pPr>
        <w:pStyle w:val="brAngabeLiteraturverzeichnis"/>
      </w:pPr>
      <w:r w:rsidRPr="00C82C80">
        <w:rPr>
          <w:iCs/>
          <w:smallCaps/>
        </w:rPr>
        <w:t>Naumann</w:t>
      </w:r>
      <w:r w:rsidRPr="00C82C80">
        <w:t xml:space="preserve">, Wolfram (1979): „Dichtung oder Gesellschaftsspiel? Zur Ambivalenz verschiedener Formen japanischer sozialagonaler und gemeinschaftlicher Dichtung“. In: </w:t>
      </w:r>
      <w:r w:rsidRPr="00B50664">
        <w:t>Bonner Zeitschrift für Japanologie 1</w:t>
      </w:r>
      <w:r w:rsidRPr="00C82C80">
        <w:t xml:space="preserve"> (= Festgabe Zachert zum 70. Geburtstag): 101–124.</w:t>
      </w:r>
    </w:p>
    <w:p w14:paraId="591B078D" w14:textId="032A978B" w:rsidR="009B38B3" w:rsidRPr="00C82C80" w:rsidRDefault="009B38B3" w:rsidP="00143128">
      <w:pPr>
        <w:pStyle w:val="brAngabeLiteraturverzeichnis"/>
        <w:rPr>
          <w:lang w:val="it-IT"/>
        </w:rPr>
      </w:pPr>
      <w:r w:rsidRPr="00C82C80">
        <w:rPr>
          <w:iCs/>
          <w:smallCaps/>
          <w:lang w:val="it-IT"/>
        </w:rPr>
        <w:t>Ōtsu,</w:t>
      </w:r>
      <w:r w:rsidRPr="00C82C80">
        <w:rPr>
          <w:smallCaps/>
          <w:lang w:val="it-IT"/>
        </w:rPr>
        <w:t xml:space="preserve"> </w:t>
      </w:r>
      <w:r w:rsidRPr="00C82C80">
        <w:rPr>
          <w:lang w:val="it-IT"/>
        </w:rPr>
        <w:t xml:space="preserve">Yūichi </w:t>
      </w:r>
      <w:proofErr w:type="spellStart"/>
      <w:r w:rsidRPr="00AC1AE7">
        <w:rPr>
          <w:rFonts w:cs="Arial"/>
          <w:sz w:val="20"/>
          <w:szCs w:val="20"/>
          <w:lang w:eastAsia="en-US"/>
        </w:rPr>
        <w:t>大津有一</w:t>
      </w:r>
      <w:proofErr w:type="spellEnd"/>
      <w:r w:rsidRPr="00C82C80">
        <w:rPr>
          <w:smallCaps/>
          <w:lang w:val="it-IT"/>
        </w:rPr>
        <w:t>, Tsukishima</w:t>
      </w:r>
      <w:r w:rsidRPr="00C82C80">
        <w:rPr>
          <w:lang w:val="it-IT"/>
        </w:rPr>
        <w:t xml:space="preserve"> Hiroshi </w:t>
      </w:r>
      <w:proofErr w:type="spellStart"/>
      <w:r w:rsidRPr="00AC1AE7">
        <w:rPr>
          <w:rFonts w:cs="Arial"/>
          <w:sz w:val="20"/>
          <w:szCs w:val="20"/>
          <w:lang w:eastAsia="en-US"/>
        </w:rPr>
        <w:t>築島裕</w:t>
      </w:r>
      <w:proofErr w:type="spellEnd"/>
      <w:r w:rsidRPr="00C82C80">
        <w:rPr>
          <w:lang w:val="it-IT"/>
        </w:rPr>
        <w:t xml:space="preserve"> (1957): „</w:t>
      </w:r>
      <w:r w:rsidRPr="00EE2EBE">
        <w:rPr>
          <w:lang w:val="it-IT"/>
        </w:rPr>
        <w:t xml:space="preserve">Kaisetsu </w:t>
      </w:r>
      <w:r w:rsidR="00EE2EBE">
        <w:rPr>
          <w:lang w:val="it-IT"/>
        </w:rPr>
        <w:t xml:space="preserve">[Erläuterungen] </w:t>
      </w:r>
      <w:proofErr w:type="spellStart"/>
      <w:r w:rsidRPr="00EE2EBE">
        <w:rPr>
          <w:rFonts w:cs="Arial" w:hint="eastAsia"/>
          <w:sz w:val="20"/>
          <w:szCs w:val="20"/>
          <w:lang w:eastAsia="en-US"/>
        </w:rPr>
        <w:t>解説</w:t>
      </w:r>
      <w:proofErr w:type="spellEnd"/>
      <w:r w:rsidRPr="00EE2EBE">
        <w:rPr>
          <w:lang w:val="it-IT"/>
        </w:rPr>
        <w:t>“</w:t>
      </w:r>
      <w:r w:rsidRPr="00C82C80">
        <w:rPr>
          <w:lang w:val="it-IT"/>
        </w:rPr>
        <w:t xml:space="preserve">. In: </w:t>
      </w:r>
      <w:r w:rsidRPr="00B50664">
        <w:rPr>
          <w:lang w:val="it-IT"/>
        </w:rPr>
        <w:t>Taketori monogatari, Ise monogatari, Yamato monogatari</w:t>
      </w:r>
      <w:r w:rsidRPr="00C82C80">
        <w:rPr>
          <w:lang w:val="it-IT"/>
        </w:rPr>
        <w:t xml:space="preserve"> </w:t>
      </w:r>
      <w:proofErr w:type="spellStart"/>
      <w:r w:rsidRPr="00AC1AE7">
        <w:rPr>
          <w:rFonts w:cs="Arial"/>
          <w:sz w:val="20"/>
          <w:szCs w:val="20"/>
          <w:lang w:eastAsia="en-US"/>
        </w:rPr>
        <w:t>竹取物語、伊勢物語、大和物語</w:t>
      </w:r>
      <w:proofErr w:type="spellEnd"/>
      <w:r w:rsidRPr="00C82C80">
        <w:rPr>
          <w:lang w:val="it-IT"/>
        </w:rPr>
        <w:t xml:space="preserve"> (NKBT Bd. 9). Tōkyō: Iwanami shoten</w:t>
      </w:r>
      <w:r w:rsidRPr="00C82C80">
        <w:rPr>
          <w:iCs/>
          <w:lang w:val="it-IT"/>
        </w:rPr>
        <w:t>: 81–104</w:t>
      </w:r>
      <w:r w:rsidRPr="00C82C80">
        <w:rPr>
          <w:lang w:val="it-IT"/>
        </w:rPr>
        <w:t>.</w:t>
      </w:r>
    </w:p>
    <w:p w14:paraId="7CFD9D23" w14:textId="77777777" w:rsidR="009B38B3" w:rsidRPr="00C82C80" w:rsidRDefault="009B38B3" w:rsidP="00143128">
      <w:pPr>
        <w:pStyle w:val="brAngabeLiteraturverzeichnis"/>
        <w:rPr>
          <w:lang w:val="en-US"/>
        </w:rPr>
      </w:pPr>
      <w:bookmarkStart w:id="28" w:name="_ENREF_19"/>
      <w:proofErr w:type="spellStart"/>
      <w:r w:rsidRPr="00C82C80">
        <w:rPr>
          <w:smallCaps/>
          <w:lang w:val="en-US"/>
        </w:rPr>
        <w:t>Tansman</w:t>
      </w:r>
      <w:proofErr w:type="spellEnd"/>
      <w:r w:rsidRPr="00C82C80">
        <w:rPr>
          <w:lang w:val="en-US"/>
        </w:rPr>
        <w:t xml:space="preserve">, Alan (2009): „Introduction: The Culture of Japanese </w:t>
      </w:r>
      <w:proofErr w:type="gramStart"/>
      <w:r w:rsidRPr="00C82C80">
        <w:rPr>
          <w:lang w:val="en-US"/>
        </w:rPr>
        <w:t>Fascism“</w:t>
      </w:r>
      <w:proofErr w:type="gramEnd"/>
      <w:r w:rsidRPr="00C82C80">
        <w:rPr>
          <w:lang w:val="en-US"/>
        </w:rPr>
        <w:t xml:space="preserve">. In: </w:t>
      </w:r>
      <w:proofErr w:type="spellStart"/>
      <w:r w:rsidRPr="00C82C80">
        <w:rPr>
          <w:lang w:val="en-US"/>
        </w:rPr>
        <w:t>Ders</w:t>
      </w:r>
      <w:proofErr w:type="spellEnd"/>
      <w:r w:rsidRPr="00C82C80">
        <w:rPr>
          <w:lang w:val="en-US"/>
        </w:rPr>
        <w:t xml:space="preserve">.: </w:t>
      </w:r>
      <w:r w:rsidRPr="001241DA">
        <w:rPr>
          <w:lang w:val="en-US"/>
        </w:rPr>
        <w:t>The Culture of Japanese Fascism</w:t>
      </w:r>
      <w:r w:rsidRPr="00C82C80">
        <w:rPr>
          <w:lang w:val="en-US"/>
        </w:rPr>
        <w:t>. Durham: Duke University Press: 1–28.</w:t>
      </w:r>
      <w:bookmarkEnd w:id="28"/>
    </w:p>
    <w:p w14:paraId="28823DA7" w14:textId="77777777" w:rsidR="009B38B3" w:rsidRPr="007D28AB" w:rsidRDefault="009B38B3" w:rsidP="00143128">
      <w:pPr>
        <w:pStyle w:val="brAngabeLiteraturverzeichnis"/>
      </w:pPr>
      <w:bookmarkStart w:id="29" w:name="_ENREF_21"/>
      <w:r w:rsidRPr="00C82C80">
        <w:rPr>
          <w:smallCaps/>
        </w:rPr>
        <w:t>Wirth</w:t>
      </w:r>
      <w:r w:rsidRPr="00C82C80">
        <w:t xml:space="preserve">, Uwe (2002): „Der </w:t>
      </w:r>
      <w:proofErr w:type="spellStart"/>
      <w:r w:rsidRPr="00C82C80">
        <w:t>Performanzbegriff</w:t>
      </w:r>
      <w:proofErr w:type="spellEnd"/>
      <w:r w:rsidRPr="00C82C80">
        <w:t xml:space="preserve"> im Spannungsfeld von Illokution, Iteration und </w:t>
      </w:r>
      <w:proofErr w:type="spellStart"/>
      <w:r w:rsidRPr="00C82C80">
        <w:t>Indexikalität</w:t>
      </w:r>
      <w:proofErr w:type="spellEnd"/>
      <w:r w:rsidRPr="00C82C80">
        <w:t xml:space="preserve">“. In: </w:t>
      </w:r>
      <w:proofErr w:type="spellStart"/>
      <w:r w:rsidRPr="00C82C80">
        <w:t>Ders</w:t>
      </w:r>
      <w:proofErr w:type="spellEnd"/>
      <w:r w:rsidRPr="00C82C80">
        <w:t>. (</w:t>
      </w:r>
      <w:proofErr w:type="spellStart"/>
      <w:r w:rsidRPr="00C82C80">
        <w:t>Hg</w:t>
      </w:r>
      <w:proofErr w:type="spellEnd"/>
      <w:r w:rsidRPr="00C82C80">
        <w:t xml:space="preserve">.): </w:t>
      </w:r>
      <w:r w:rsidRPr="001241DA">
        <w:t>Performanz. Zwischen Sprachphilosophie und Kulturwissenschaften</w:t>
      </w:r>
      <w:r w:rsidRPr="00C82C80">
        <w:t>. Frankfurt/Main: Suhrkamp: 9–60.</w:t>
      </w:r>
      <w:bookmarkEnd w:id="29"/>
    </w:p>
    <w:p w14:paraId="278405EA" w14:textId="77777777" w:rsidR="009B38B3" w:rsidRPr="00125EDC" w:rsidRDefault="009B38B3" w:rsidP="0053292A">
      <w:pPr>
        <w:pStyle w:val="brberschriftEbene2ohneNummerierung"/>
      </w:pPr>
      <w:bookmarkStart w:id="30" w:name="_Toc379738263"/>
      <w:r w:rsidRPr="00125EDC">
        <w:t>Internetquellen</w:t>
      </w:r>
      <w:bookmarkEnd w:id="30"/>
    </w:p>
    <w:p w14:paraId="0EE3981C" w14:textId="1704804A" w:rsidR="009B38B3" w:rsidRPr="0012689E" w:rsidRDefault="009B38B3" w:rsidP="0053292A">
      <w:pPr>
        <w:pStyle w:val="brAngabeLiteraturverzeichnis"/>
      </w:pPr>
      <w:proofErr w:type="spellStart"/>
      <w:r w:rsidRPr="0012689E">
        <w:rPr>
          <w:i/>
        </w:rPr>
        <w:t>bokugi</w:t>
      </w:r>
      <w:proofErr w:type="spellEnd"/>
      <w:r w:rsidRPr="0012689E">
        <w:t xml:space="preserve"> auf JAANUS (</w:t>
      </w:r>
      <w:proofErr w:type="spellStart"/>
      <w:r w:rsidRPr="0012689E">
        <w:t>Japanese</w:t>
      </w:r>
      <w:proofErr w:type="spellEnd"/>
      <w:r w:rsidRPr="0012689E">
        <w:t xml:space="preserve"> Architecture and Art Net Users System): http://www.aisf.or.jp/~jaanus/ (zuletzt aufgerufen</w:t>
      </w:r>
      <w:r w:rsidR="0053292A">
        <w:t>: 03.11.2019</w:t>
      </w:r>
      <w:r w:rsidRPr="0012689E">
        <w:t>).</w:t>
      </w:r>
    </w:p>
    <w:p w14:paraId="4C4F2331" w14:textId="77777777" w:rsidR="009B38B3" w:rsidRPr="001241DA" w:rsidRDefault="009B38B3" w:rsidP="0053292A">
      <w:pPr>
        <w:pStyle w:val="brAngabeLiteraturverzeichnis"/>
      </w:pPr>
      <w:r w:rsidRPr="001241DA">
        <w:rPr>
          <w:smallCaps/>
        </w:rPr>
        <w:lastRenderedPageBreak/>
        <w:t>Mund</w:t>
      </w:r>
      <w:r w:rsidRPr="001241DA">
        <w:t xml:space="preserve">, </w:t>
      </w:r>
      <w:proofErr w:type="spellStart"/>
      <w:r w:rsidRPr="001241DA">
        <w:t>Pega</w:t>
      </w:r>
      <w:proofErr w:type="spellEnd"/>
      <w:r w:rsidRPr="001241DA">
        <w:t xml:space="preserve"> (2008): „Mensch muss erzählen.“ Beitrag auf </w:t>
      </w:r>
      <w:r w:rsidRPr="001241DA">
        <w:rPr>
          <w:i/>
        </w:rPr>
        <w:t>Forum für Literatur und Germanistik</w:t>
      </w:r>
      <w:r w:rsidRPr="001241DA">
        <w:t>, datiert 05.12.2008: http://www.synekdoche.de/thema1408.htm (zuletzt aufgerufen: 08.02.2014).</w:t>
      </w:r>
    </w:p>
    <w:p w14:paraId="1305F169" w14:textId="77777777" w:rsidR="009B38B3" w:rsidRPr="001241DA" w:rsidRDefault="009B38B3" w:rsidP="0053292A">
      <w:pPr>
        <w:pStyle w:val="brAngabeLiteraturverzeichnis"/>
      </w:pPr>
      <w:proofErr w:type="spellStart"/>
      <w:r w:rsidRPr="001241DA">
        <w:rPr>
          <w:smallCaps/>
        </w:rPr>
        <w:t>Thuleen</w:t>
      </w:r>
      <w:proofErr w:type="spellEnd"/>
      <w:r w:rsidRPr="001241DA">
        <w:t xml:space="preserve">, Nancy (1996): „Funktionen des Erzählens.“ Verfügbar bei Nancy </w:t>
      </w:r>
      <w:proofErr w:type="spellStart"/>
      <w:r w:rsidRPr="001241DA">
        <w:t>Thuleen</w:t>
      </w:r>
      <w:proofErr w:type="spellEnd"/>
      <w:r w:rsidRPr="001241DA">
        <w:t>: www.nthuleen.com/papers/636Erzaehlen.html (zuletzt aufgerufen: 22.02.2014).</w:t>
      </w:r>
    </w:p>
    <w:p w14:paraId="660AFE1E" w14:textId="44AC941E" w:rsidR="009B38B3" w:rsidRPr="0012689E" w:rsidRDefault="009B38B3" w:rsidP="0053292A">
      <w:pPr>
        <w:pStyle w:val="brAngabeLiteraturverzeichnis"/>
      </w:pPr>
      <w:proofErr w:type="spellStart"/>
      <w:r w:rsidRPr="0012689E">
        <w:t>rakugodcc</w:t>
      </w:r>
      <w:proofErr w:type="spellEnd"/>
      <w:r w:rsidRPr="0012689E">
        <w:t xml:space="preserve"> (YouTube Channel der </w:t>
      </w:r>
      <w:proofErr w:type="spellStart"/>
      <w:r w:rsidRPr="0012689E">
        <w:t>Rakugo</w:t>
      </w:r>
      <w:proofErr w:type="spellEnd"/>
      <w:r w:rsidRPr="0012689E">
        <w:t xml:space="preserve"> </w:t>
      </w:r>
      <w:proofErr w:type="spellStart"/>
      <w:r w:rsidRPr="0012689E">
        <w:t>Kyōkai</w:t>
      </w:r>
      <w:proofErr w:type="spellEnd"/>
      <w:r w:rsidRPr="0012689E">
        <w:t>): http://www.youtube.com/user/</w:t>
      </w:r>
      <w:r w:rsidR="0053292A">
        <w:br/>
      </w:r>
      <w:proofErr w:type="spellStart"/>
      <w:r w:rsidRPr="0012689E">
        <w:t>rakugodcc</w:t>
      </w:r>
      <w:proofErr w:type="spellEnd"/>
      <w:r w:rsidRPr="0012689E">
        <w:t xml:space="preserve"> (zuletzt aufgerufen: 20.08.2013).</w:t>
      </w:r>
    </w:p>
    <w:p w14:paraId="4EC3AED9" w14:textId="23A4BCE6" w:rsidR="009C7055" w:rsidRPr="009B38B3" w:rsidRDefault="009B38B3" w:rsidP="0053292A">
      <w:pPr>
        <w:pStyle w:val="brAngabeLiteraturverzeichnis"/>
      </w:pPr>
      <w:proofErr w:type="spellStart"/>
      <w:r w:rsidRPr="0012689E">
        <w:rPr>
          <w:lang w:val="en-US"/>
        </w:rPr>
        <w:t>australianetworknews</w:t>
      </w:r>
      <w:proofErr w:type="spellEnd"/>
      <w:r w:rsidRPr="0012689E">
        <w:rPr>
          <w:lang w:val="en-US"/>
        </w:rPr>
        <w:t xml:space="preserve"> (YouTube Channel ABC News for Australia): „Japanese Prime Minister Shinzo Abe's renewed nationalism.” </w:t>
      </w:r>
      <w:r w:rsidRPr="0012689E">
        <w:t>Datiert 02.06.2013: http://www.youtube.com/watch?v=HnXySeM-zsE (zuletzt aufgerufen: 24.04.2014</w:t>
      </w:r>
      <w:bookmarkEnd w:id="6"/>
      <w:r w:rsidRPr="0012689E">
        <w:t>)</w:t>
      </w:r>
    </w:p>
    <w:sectPr w:rsidR="009C7055" w:rsidRPr="009B38B3" w:rsidSect="00AA67B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EA51" w14:textId="77777777" w:rsidR="00910256" w:rsidRDefault="00910256" w:rsidP="00567452">
      <w:pPr>
        <w:spacing w:after="0" w:line="240" w:lineRule="auto"/>
      </w:pPr>
      <w:r>
        <w:separator/>
      </w:r>
    </w:p>
  </w:endnote>
  <w:endnote w:type="continuationSeparator" w:id="0">
    <w:p w14:paraId="7C485CB9" w14:textId="77777777" w:rsidR="00910256" w:rsidRDefault="00910256" w:rsidP="0056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F12C" w14:textId="77777777" w:rsidR="00041FE4" w:rsidRDefault="00041FE4" w:rsidP="00C7131E">
    <w:pPr>
      <w:pStyle w:val="Footer"/>
      <w:spacing w:after="200" w:line="276" w:lineRule="auto"/>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3"/>
    </w:tblGrid>
    <w:tr w:rsidR="00041FE4" w:rsidRPr="00D67BBC" w14:paraId="34DC4834" w14:textId="77777777" w:rsidTr="00041FE4">
      <w:tc>
        <w:tcPr>
          <w:tcW w:w="3227" w:type="dxa"/>
        </w:tcPr>
        <w:p w14:paraId="32D2E712" w14:textId="77777777" w:rsidR="00041FE4" w:rsidRPr="00D67BBC" w:rsidRDefault="00041FE4" w:rsidP="00041FE4">
          <w:pPr>
            <w:pStyle w:val="Footer"/>
            <w:spacing w:before="120"/>
            <w:rPr>
              <w:color w:val="690000"/>
              <w:sz w:val="18"/>
              <w:szCs w:val="18"/>
            </w:rPr>
          </w:pPr>
        </w:p>
      </w:tc>
      <w:tc>
        <w:tcPr>
          <w:tcW w:w="5983" w:type="dxa"/>
        </w:tcPr>
        <w:p w14:paraId="5FF77F52" w14:textId="1AF594A4" w:rsidR="00041FE4" w:rsidRPr="00D67BBC" w:rsidRDefault="00041FE4" w:rsidP="00632054">
          <w:pPr>
            <w:tabs>
              <w:tab w:val="left" w:pos="620"/>
              <w:tab w:val="center" w:pos="4320"/>
            </w:tabs>
            <w:spacing w:before="120"/>
            <w:jc w:val="right"/>
            <w:rPr>
              <w:rFonts w:asciiTheme="majorHAnsi" w:eastAsiaTheme="majorEastAsia" w:hAnsiTheme="majorHAnsi" w:cstheme="majorBidi"/>
              <w:color w:val="690000"/>
              <w:sz w:val="18"/>
              <w:szCs w:val="18"/>
            </w:rPr>
          </w:pPr>
          <w:proofErr w:type="spellStart"/>
          <w:r w:rsidRPr="009A67F6">
            <w:rPr>
              <w:i/>
              <w:color w:val="690000"/>
              <w:sz w:val="18"/>
              <w:szCs w:val="18"/>
            </w:rPr>
            <w:t>Bunron</w:t>
          </w:r>
          <w:proofErr w:type="spellEnd"/>
          <w:r>
            <w:rPr>
              <w:color w:val="690000"/>
              <w:sz w:val="18"/>
              <w:szCs w:val="18"/>
            </w:rPr>
            <w:t xml:space="preserve"> (201</w:t>
          </w:r>
          <w:r w:rsidR="003F1215">
            <w:rPr>
              <w:color w:val="690000"/>
              <w:sz w:val="18"/>
              <w:szCs w:val="18"/>
            </w:rPr>
            <w:t>9</w:t>
          </w:r>
          <w:r>
            <w:rPr>
              <w:color w:val="690000"/>
              <w:sz w:val="18"/>
              <w:szCs w:val="18"/>
            </w:rPr>
            <w:t>, Manuskriptleitlinien</w:t>
          </w:r>
          <w:r w:rsidRPr="00D67BBC">
            <w:rPr>
              <w:color w:val="690000"/>
              <w:sz w:val="18"/>
              <w:szCs w:val="18"/>
            </w:rPr>
            <w:t>)</w:t>
          </w:r>
        </w:p>
      </w:tc>
    </w:tr>
  </w:tbl>
  <w:p w14:paraId="01CABD73" w14:textId="77777777" w:rsidR="00041FE4" w:rsidRDefault="00041FE4" w:rsidP="009C6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F900" w14:textId="77777777" w:rsidR="00041FE4" w:rsidRDefault="00041FE4" w:rsidP="00227F7F">
    <w:pPr>
      <w:pStyle w:val="Footer"/>
      <w:spacing w:after="200" w:line="276" w:lineRule="auto"/>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3"/>
    </w:tblGrid>
    <w:tr w:rsidR="00041FE4" w:rsidRPr="00D67BBC" w14:paraId="23855D85" w14:textId="77777777" w:rsidTr="00041FE4">
      <w:tc>
        <w:tcPr>
          <w:tcW w:w="3227" w:type="dxa"/>
        </w:tcPr>
        <w:p w14:paraId="306680E4" w14:textId="087AC043" w:rsidR="00041FE4" w:rsidRPr="00D67BBC" w:rsidRDefault="00041FE4" w:rsidP="00632054">
          <w:pPr>
            <w:pStyle w:val="Footer"/>
            <w:spacing w:before="120"/>
            <w:ind w:right="-108"/>
            <w:rPr>
              <w:color w:val="690000"/>
              <w:sz w:val="18"/>
              <w:szCs w:val="18"/>
            </w:rPr>
          </w:pPr>
          <w:proofErr w:type="spellStart"/>
          <w:r w:rsidRPr="009A67F6">
            <w:rPr>
              <w:i/>
              <w:color w:val="690000"/>
              <w:sz w:val="18"/>
              <w:szCs w:val="18"/>
            </w:rPr>
            <w:t>Bunron</w:t>
          </w:r>
          <w:proofErr w:type="spellEnd"/>
          <w:r>
            <w:rPr>
              <w:color w:val="690000"/>
              <w:sz w:val="18"/>
              <w:szCs w:val="18"/>
            </w:rPr>
            <w:t xml:space="preserve"> (</w:t>
          </w:r>
          <w:r w:rsidRPr="00D67BBC">
            <w:rPr>
              <w:color w:val="690000"/>
              <w:sz w:val="18"/>
              <w:szCs w:val="18"/>
            </w:rPr>
            <w:t>201</w:t>
          </w:r>
          <w:r w:rsidR="003F1215">
            <w:rPr>
              <w:color w:val="690000"/>
              <w:sz w:val="18"/>
              <w:szCs w:val="18"/>
            </w:rPr>
            <w:t>9</w:t>
          </w:r>
          <w:r>
            <w:rPr>
              <w:color w:val="690000"/>
              <w:sz w:val="18"/>
              <w:szCs w:val="18"/>
            </w:rPr>
            <w:t>, Manuskriptleitlinien</w:t>
          </w:r>
          <w:r w:rsidRPr="00D67BBC">
            <w:rPr>
              <w:color w:val="690000"/>
              <w:sz w:val="18"/>
              <w:szCs w:val="18"/>
            </w:rPr>
            <w:t>)</w:t>
          </w:r>
        </w:p>
      </w:tc>
      <w:tc>
        <w:tcPr>
          <w:tcW w:w="5983" w:type="dxa"/>
        </w:tcPr>
        <w:p w14:paraId="676B8976" w14:textId="77777777" w:rsidR="00041FE4" w:rsidRPr="00D67BBC" w:rsidRDefault="00041FE4" w:rsidP="00041FE4">
          <w:pPr>
            <w:tabs>
              <w:tab w:val="left" w:pos="620"/>
              <w:tab w:val="center" w:pos="4320"/>
            </w:tabs>
            <w:spacing w:before="120"/>
            <w:jc w:val="right"/>
            <w:rPr>
              <w:rFonts w:asciiTheme="majorHAnsi" w:eastAsiaTheme="majorEastAsia" w:hAnsiTheme="majorHAnsi" w:cstheme="majorBidi"/>
              <w:color w:val="690000"/>
              <w:sz w:val="18"/>
              <w:szCs w:val="18"/>
            </w:rPr>
          </w:pPr>
        </w:p>
      </w:tc>
    </w:tr>
  </w:tbl>
  <w:p w14:paraId="4E616F23" w14:textId="77777777" w:rsidR="00041FE4" w:rsidRDefault="00041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04AA" w14:textId="77777777" w:rsidR="00041FE4" w:rsidRDefault="00041FE4" w:rsidP="00747572">
    <w:pPr>
      <w:pStyle w:val="Footer"/>
      <w:spacing w:after="200" w:line="276" w:lineRule="auto"/>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3"/>
    </w:tblGrid>
    <w:tr w:rsidR="00041FE4" w:rsidRPr="00D67BBC" w14:paraId="356A4810" w14:textId="77777777" w:rsidTr="00041FE4">
      <w:tc>
        <w:tcPr>
          <w:tcW w:w="3227" w:type="dxa"/>
        </w:tcPr>
        <w:p w14:paraId="0227DCCE" w14:textId="71AC2B96" w:rsidR="00041FE4" w:rsidRPr="00D67BBC" w:rsidRDefault="00041FE4" w:rsidP="00632054">
          <w:pPr>
            <w:pStyle w:val="Footer"/>
            <w:spacing w:before="120"/>
            <w:ind w:right="-108"/>
            <w:rPr>
              <w:color w:val="690000"/>
              <w:sz w:val="18"/>
              <w:szCs w:val="18"/>
            </w:rPr>
          </w:pPr>
          <w:proofErr w:type="spellStart"/>
          <w:r w:rsidRPr="009A67F6">
            <w:rPr>
              <w:i/>
              <w:color w:val="690000"/>
              <w:sz w:val="18"/>
              <w:szCs w:val="18"/>
            </w:rPr>
            <w:t>Bunron</w:t>
          </w:r>
          <w:proofErr w:type="spellEnd"/>
          <w:r>
            <w:rPr>
              <w:color w:val="690000"/>
              <w:sz w:val="18"/>
              <w:szCs w:val="18"/>
            </w:rPr>
            <w:t xml:space="preserve"> (</w:t>
          </w:r>
          <w:r w:rsidRPr="00D67BBC">
            <w:rPr>
              <w:color w:val="690000"/>
              <w:sz w:val="18"/>
              <w:szCs w:val="18"/>
            </w:rPr>
            <w:t>201</w:t>
          </w:r>
          <w:r w:rsidR="003F1215">
            <w:rPr>
              <w:color w:val="690000"/>
              <w:sz w:val="18"/>
              <w:szCs w:val="18"/>
            </w:rPr>
            <w:t>9</w:t>
          </w:r>
          <w:r>
            <w:rPr>
              <w:color w:val="690000"/>
              <w:sz w:val="18"/>
              <w:szCs w:val="18"/>
            </w:rPr>
            <w:t>, Manuskriptleitlinien</w:t>
          </w:r>
          <w:r w:rsidRPr="00D67BBC">
            <w:rPr>
              <w:color w:val="690000"/>
              <w:sz w:val="18"/>
              <w:szCs w:val="18"/>
            </w:rPr>
            <w:t>)</w:t>
          </w:r>
        </w:p>
      </w:tc>
      <w:tc>
        <w:tcPr>
          <w:tcW w:w="5983" w:type="dxa"/>
        </w:tcPr>
        <w:p w14:paraId="4E4E85A7" w14:textId="77777777" w:rsidR="00041FE4" w:rsidRPr="00D67BBC" w:rsidRDefault="00041FE4" w:rsidP="00041FE4">
          <w:pPr>
            <w:tabs>
              <w:tab w:val="left" w:pos="620"/>
              <w:tab w:val="center" w:pos="4320"/>
            </w:tabs>
            <w:spacing w:before="120"/>
            <w:jc w:val="right"/>
            <w:rPr>
              <w:rFonts w:asciiTheme="majorHAnsi" w:eastAsiaTheme="majorEastAsia" w:hAnsiTheme="majorHAnsi" w:cstheme="majorBidi"/>
              <w:color w:val="690000"/>
              <w:sz w:val="18"/>
              <w:szCs w:val="18"/>
            </w:rPr>
          </w:pPr>
        </w:p>
      </w:tc>
    </w:tr>
  </w:tbl>
  <w:p w14:paraId="495B69F9" w14:textId="77777777" w:rsidR="00041FE4" w:rsidRDefault="00041FE4" w:rsidP="0074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C59F" w14:textId="77777777" w:rsidR="00910256" w:rsidRDefault="00910256" w:rsidP="009F25F8">
      <w:pPr>
        <w:spacing w:after="0" w:line="168" w:lineRule="auto"/>
      </w:pPr>
      <w:r>
        <w:br/>
      </w:r>
      <w:r>
        <w:separator/>
      </w:r>
    </w:p>
  </w:footnote>
  <w:footnote w:type="continuationSeparator" w:id="0">
    <w:p w14:paraId="4B107B52" w14:textId="77777777" w:rsidR="00910256" w:rsidRDefault="00910256" w:rsidP="00567452">
      <w:pPr>
        <w:spacing w:after="0" w:line="240" w:lineRule="auto"/>
      </w:pPr>
      <w:r>
        <w:continuationSeparator/>
      </w:r>
    </w:p>
  </w:footnote>
  <w:footnote w:id="1">
    <w:p w14:paraId="56D37026" w14:textId="4F690D7E" w:rsidR="00041FE4" w:rsidRPr="002014A2" w:rsidRDefault="00041FE4" w:rsidP="002014A2">
      <w:pPr>
        <w:pStyle w:val="brFunoten"/>
      </w:pPr>
      <w:r w:rsidRPr="002014A2">
        <w:rPr>
          <w:rStyle w:val="FootnoteReference"/>
        </w:rPr>
        <w:footnoteRef/>
      </w:r>
      <w:r w:rsidRPr="002014A2">
        <w:t xml:space="preserve"> Analog gilt die Verwendung des jeweiligen wissenschaftlichen Standards für alle in Originalschrift oder Transkription zitierten Quellen.</w:t>
      </w:r>
    </w:p>
  </w:footnote>
  <w:footnote w:id="2">
    <w:p w14:paraId="0882337B" w14:textId="04385551" w:rsidR="00041FE4" w:rsidRPr="000C5707" w:rsidRDefault="00041FE4" w:rsidP="00D6200E">
      <w:pPr>
        <w:pStyle w:val="brFunoten"/>
      </w:pPr>
      <w:r w:rsidRPr="000C5707">
        <w:rPr>
          <w:rStyle w:val="FootnoteReference"/>
        </w:rPr>
        <w:footnoteRef/>
      </w:r>
      <w:r>
        <w:t xml:space="preserve"> </w:t>
      </w:r>
      <w:r w:rsidRPr="000C5707">
        <w:t xml:space="preserve">Vgl. </w:t>
      </w:r>
      <w:r w:rsidRPr="000C5707">
        <w:rPr>
          <w:smallCaps/>
        </w:rPr>
        <w:t>Iser</w:t>
      </w:r>
      <w:r w:rsidRPr="000C5707">
        <w:t xml:space="preserve"> 1976: 58. </w:t>
      </w:r>
      <w:bookmarkStart w:id="17" w:name="_Hlk507350240"/>
      <w:r w:rsidRPr="000C5707">
        <w:t xml:space="preserve">Zwei Autoren werden wie folgt angegeben: </w:t>
      </w:r>
      <w:proofErr w:type="spellStart"/>
      <w:r w:rsidRPr="000C5707">
        <w:rPr>
          <w:smallCaps/>
        </w:rPr>
        <w:t>Mishima</w:t>
      </w:r>
      <w:proofErr w:type="spellEnd"/>
      <w:r w:rsidRPr="000C5707">
        <w:rPr>
          <w:smallCaps/>
        </w:rPr>
        <w:t>/</w:t>
      </w:r>
      <w:proofErr w:type="spellStart"/>
      <w:r w:rsidRPr="000C5707">
        <w:rPr>
          <w:smallCaps/>
        </w:rPr>
        <w:t>Domoto</w:t>
      </w:r>
      <w:proofErr w:type="spellEnd"/>
      <w:r w:rsidRPr="000C5707">
        <w:t xml:space="preserve"> 2006: 3:25; drei und mehr im Format </w:t>
      </w:r>
      <w:proofErr w:type="spellStart"/>
      <w:r w:rsidRPr="000C5707">
        <w:rPr>
          <w:smallCaps/>
        </w:rPr>
        <w:t>Häsner</w:t>
      </w:r>
      <w:proofErr w:type="spellEnd"/>
      <w:r w:rsidRPr="000C5707">
        <w:t xml:space="preserve"> </w:t>
      </w:r>
      <w:r w:rsidRPr="000C5707">
        <w:rPr>
          <w:i/>
        </w:rPr>
        <w:t>et al.</w:t>
      </w:r>
      <w:r w:rsidRPr="000C5707">
        <w:t xml:space="preserve"> 2011: 70ff.</w:t>
      </w:r>
      <w:bookmarkEnd w:id="17"/>
    </w:p>
  </w:footnote>
  <w:footnote w:id="3">
    <w:p w14:paraId="05FDA8B7" w14:textId="6AD1F53E" w:rsidR="00041FE4" w:rsidRPr="007630E9" w:rsidRDefault="00041FE4" w:rsidP="00591A7D">
      <w:pPr>
        <w:pStyle w:val="brFunoten"/>
      </w:pPr>
      <w:r w:rsidRPr="000C5707">
        <w:rPr>
          <w:rStyle w:val="FootnoteReference"/>
        </w:rPr>
        <w:footnoteRef/>
      </w:r>
      <w:r>
        <w:t xml:space="preserve"> </w:t>
      </w:r>
      <w:proofErr w:type="spellStart"/>
      <w:r w:rsidRPr="000C5707">
        <w:rPr>
          <w:smallCaps/>
        </w:rPr>
        <w:t>Thuleen</w:t>
      </w:r>
      <w:proofErr w:type="spellEnd"/>
      <w:r w:rsidRPr="000C5707">
        <w:rPr>
          <w:smallCaps/>
        </w:rPr>
        <w:t xml:space="preserve"> </w:t>
      </w:r>
      <w:r w:rsidRPr="000C5707">
        <w:t>1996: http://www.nthuleen.com/papers/AH350frpaint.html (zuletzt aufgerufen: 24.04.2014).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7994"/>
      <w:gridCol w:w="452"/>
    </w:tblGrid>
    <w:tr w:rsidR="00041FE4" w:rsidRPr="00601CC0" w14:paraId="66044F76" w14:textId="77777777" w:rsidTr="0053453E">
      <w:tc>
        <w:tcPr>
          <w:tcW w:w="675" w:type="dxa"/>
        </w:tcPr>
        <w:p w14:paraId="1D60A0D0" w14:textId="088026FA" w:rsidR="00041FE4" w:rsidRPr="00601CC0" w:rsidRDefault="00041FE4" w:rsidP="00B161C3">
          <w:pPr>
            <w:pStyle w:val="Header"/>
            <w:rPr>
              <w:spacing w:val="20"/>
              <w:sz w:val="20"/>
              <w:szCs w:val="20"/>
            </w:rPr>
          </w:pPr>
          <w:r>
            <w:rPr>
              <w:color w:val="690000"/>
              <w:sz w:val="20"/>
              <w:szCs w:val="20"/>
            </w:rPr>
            <w:fldChar w:fldCharType="begin"/>
          </w:r>
          <w:r>
            <w:rPr>
              <w:color w:val="690000"/>
              <w:sz w:val="20"/>
              <w:szCs w:val="20"/>
            </w:rPr>
            <w:instrText xml:space="preserve"> PAGE   \* MERGEFORMAT </w:instrText>
          </w:r>
          <w:r>
            <w:rPr>
              <w:color w:val="690000"/>
              <w:sz w:val="20"/>
              <w:szCs w:val="20"/>
            </w:rPr>
            <w:fldChar w:fldCharType="separate"/>
          </w:r>
          <w:r w:rsidR="00B06221">
            <w:rPr>
              <w:noProof/>
              <w:color w:val="690000"/>
              <w:sz w:val="20"/>
              <w:szCs w:val="20"/>
            </w:rPr>
            <w:t>4</w:t>
          </w:r>
          <w:r>
            <w:rPr>
              <w:color w:val="690000"/>
              <w:sz w:val="20"/>
              <w:szCs w:val="20"/>
            </w:rPr>
            <w:fldChar w:fldCharType="end"/>
          </w:r>
        </w:p>
      </w:tc>
      <w:tc>
        <w:tcPr>
          <w:tcW w:w="8080" w:type="dxa"/>
          <w:vAlign w:val="bottom"/>
        </w:tcPr>
        <w:p w14:paraId="1F0601F6" w14:textId="77777777" w:rsidR="00041FE4" w:rsidRPr="00601CC0" w:rsidRDefault="00041FE4" w:rsidP="00CD639F">
          <w:pPr>
            <w:pStyle w:val="Header"/>
            <w:jc w:val="center"/>
            <w:rPr>
              <w:sz w:val="20"/>
              <w:szCs w:val="20"/>
            </w:rPr>
          </w:pPr>
          <w:r>
            <w:rPr>
              <w:color w:val="690000"/>
              <w:sz w:val="20"/>
              <w:szCs w:val="20"/>
            </w:rPr>
            <w:t>Manuskriptleitlinien</w:t>
          </w:r>
          <w:r>
            <w:rPr>
              <w:color w:val="690000"/>
              <w:sz w:val="20"/>
              <w:szCs w:val="20"/>
            </w:rPr>
            <w:br/>
          </w:r>
        </w:p>
      </w:tc>
      <w:tc>
        <w:tcPr>
          <w:tcW w:w="455" w:type="dxa"/>
        </w:tcPr>
        <w:p w14:paraId="44860F43" w14:textId="2FFF9B41" w:rsidR="00041FE4" w:rsidRPr="00601CC0" w:rsidRDefault="00041FE4" w:rsidP="0053453E">
          <w:pPr>
            <w:pStyle w:val="Header"/>
            <w:jc w:val="right"/>
            <w:rPr>
              <w:spacing w:val="20"/>
              <w:sz w:val="20"/>
              <w:szCs w:val="20"/>
            </w:rPr>
          </w:pPr>
        </w:p>
      </w:tc>
    </w:tr>
  </w:tbl>
  <w:p w14:paraId="4E693EB4" w14:textId="77777777" w:rsidR="00041FE4" w:rsidRPr="009C7055" w:rsidRDefault="00041FE4" w:rsidP="00F4149A">
    <w:pPr>
      <w:pStyle w:val="Header"/>
      <w:pBdr>
        <w:top w:val="single" w:sz="2" w:space="1" w:color="690000"/>
      </w:pBd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987"/>
      <w:gridCol w:w="598"/>
    </w:tblGrid>
    <w:tr w:rsidR="00041FE4" w:rsidRPr="00601CC0" w14:paraId="16A19BD5" w14:textId="77777777" w:rsidTr="0053453E">
      <w:tc>
        <w:tcPr>
          <w:tcW w:w="535" w:type="dxa"/>
        </w:tcPr>
        <w:p w14:paraId="67949A9D" w14:textId="249B8724" w:rsidR="00041FE4" w:rsidRPr="00601CC0" w:rsidRDefault="00041FE4" w:rsidP="0053453E">
          <w:pPr>
            <w:pStyle w:val="Header"/>
            <w:rPr>
              <w:spacing w:val="20"/>
              <w:sz w:val="20"/>
              <w:szCs w:val="20"/>
            </w:rPr>
          </w:pPr>
        </w:p>
      </w:tc>
      <w:tc>
        <w:tcPr>
          <w:tcW w:w="8078" w:type="dxa"/>
          <w:vAlign w:val="bottom"/>
        </w:tcPr>
        <w:p w14:paraId="4AFC563F" w14:textId="77777777" w:rsidR="00041FE4" w:rsidRPr="00601CC0" w:rsidRDefault="00041FE4" w:rsidP="00CD639F">
          <w:pPr>
            <w:pStyle w:val="Header"/>
            <w:jc w:val="center"/>
            <w:rPr>
              <w:sz w:val="20"/>
              <w:szCs w:val="20"/>
            </w:rPr>
          </w:pPr>
          <w:proofErr w:type="spellStart"/>
          <w:r w:rsidRPr="0031357A">
            <w:rPr>
              <w:i/>
              <w:color w:val="690000"/>
              <w:sz w:val="20"/>
              <w:szCs w:val="20"/>
            </w:rPr>
            <w:t>Bunron</w:t>
          </w:r>
          <w:proofErr w:type="spellEnd"/>
          <w:r>
            <w:rPr>
              <w:color w:val="690000"/>
              <w:sz w:val="20"/>
              <w:szCs w:val="20"/>
            </w:rPr>
            <w:t>-Redaktion</w:t>
          </w:r>
          <w:r>
            <w:rPr>
              <w:color w:val="690000"/>
              <w:sz w:val="20"/>
              <w:szCs w:val="20"/>
            </w:rPr>
            <w:br/>
          </w:r>
        </w:p>
      </w:tc>
      <w:tc>
        <w:tcPr>
          <w:tcW w:w="602" w:type="dxa"/>
        </w:tcPr>
        <w:p w14:paraId="4D85873A" w14:textId="058FC95D" w:rsidR="00041FE4" w:rsidRPr="00601CC0" w:rsidRDefault="00041FE4" w:rsidP="00B161C3">
          <w:pPr>
            <w:pStyle w:val="Header"/>
            <w:jc w:val="right"/>
            <w:rPr>
              <w:spacing w:val="20"/>
              <w:sz w:val="20"/>
              <w:szCs w:val="20"/>
            </w:rPr>
          </w:pPr>
          <w:r w:rsidRPr="00601CC0">
            <w:rPr>
              <w:color w:val="690000"/>
              <w:sz w:val="20"/>
              <w:szCs w:val="20"/>
            </w:rPr>
            <w:fldChar w:fldCharType="begin"/>
          </w:r>
          <w:r w:rsidRPr="00601CC0">
            <w:rPr>
              <w:color w:val="690000"/>
              <w:sz w:val="20"/>
              <w:szCs w:val="20"/>
            </w:rPr>
            <w:instrText>PAGE    \* MERGEFORMAT</w:instrText>
          </w:r>
          <w:r w:rsidRPr="00601CC0">
            <w:rPr>
              <w:color w:val="690000"/>
              <w:sz w:val="20"/>
              <w:szCs w:val="20"/>
            </w:rPr>
            <w:fldChar w:fldCharType="separate"/>
          </w:r>
          <w:r w:rsidR="00B06221">
            <w:rPr>
              <w:noProof/>
              <w:color w:val="690000"/>
              <w:sz w:val="20"/>
              <w:szCs w:val="20"/>
            </w:rPr>
            <w:t>5</w:t>
          </w:r>
          <w:r w:rsidRPr="00601CC0">
            <w:rPr>
              <w:color w:val="690000"/>
              <w:sz w:val="20"/>
              <w:szCs w:val="20"/>
            </w:rPr>
            <w:fldChar w:fldCharType="end"/>
          </w:r>
        </w:p>
      </w:tc>
    </w:tr>
  </w:tbl>
  <w:p w14:paraId="50E3F319" w14:textId="77777777" w:rsidR="00041FE4" w:rsidRDefault="00041FE4" w:rsidP="00F4149A">
    <w:pPr>
      <w:pStyle w:val="Header"/>
      <w:pBdr>
        <w:top w:val="single" w:sz="2" w:space="1" w:color="690000"/>
      </w:pBd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2269"/>
      <w:gridCol w:w="2835"/>
    </w:tblGrid>
    <w:tr w:rsidR="00041FE4" w:rsidRPr="00601CC0" w14:paraId="334B037E" w14:textId="77777777" w:rsidTr="00041FE4">
      <w:tc>
        <w:tcPr>
          <w:tcW w:w="4076" w:type="dxa"/>
          <w:vAlign w:val="bottom"/>
        </w:tcPr>
        <w:p w14:paraId="6C9242EB" w14:textId="77777777" w:rsidR="00041FE4" w:rsidRPr="00D068E8" w:rsidRDefault="00041FE4" w:rsidP="00041FE4">
          <w:pPr>
            <w:pStyle w:val="Header"/>
            <w:rPr>
              <w:color w:val="690000"/>
              <w:spacing w:val="30"/>
              <w:sz w:val="36"/>
              <w:szCs w:val="36"/>
            </w:rPr>
          </w:pPr>
          <w:r w:rsidRPr="00D068E8">
            <w:rPr>
              <w:color w:val="690000"/>
              <w:spacing w:val="30"/>
              <w:sz w:val="36"/>
              <w:szCs w:val="36"/>
            </w:rPr>
            <w:t>BUNRON</w:t>
          </w:r>
        </w:p>
        <w:p w14:paraId="421E1553" w14:textId="77777777" w:rsidR="00041FE4" w:rsidRDefault="00041FE4" w:rsidP="00041FE4">
          <w:pPr>
            <w:pStyle w:val="Header"/>
            <w:rPr>
              <w:color w:val="690000"/>
              <w:sz w:val="18"/>
              <w:szCs w:val="18"/>
            </w:rPr>
          </w:pPr>
          <w:r w:rsidRPr="00014689">
            <w:rPr>
              <w:color w:val="690000"/>
              <w:sz w:val="18"/>
              <w:szCs w:val="18"/>
            </w:rPr>
            <w:t xml:space="preserve">Zeitschrift für </w:t>
          </w:r>
          <w:r>
            <w:rPr>
              <w:color w:val="690000"/>
              <w:sz w:val="18"/>
              <w:szCs w:val="18"/>
            </w:rPr>
            <w:br/>
          </w:r>
          <w:r w:rsidRPr="00014689">
            <w:rPr>
              <w:color w:val="690000"/>
              <w:sz w:val="18"/>
              <w:szCs w:val="18"/>
            </w:rPr>
            <w:t>literaturwissenschaftliche Japanforschung</w:t>
          </w:r>
        </w:p>
        <w:p w14:paraId="1724F6FC" w14:textId="77777777" w:rsidR="00041FE4" w:rsidRPr="00601CC0" w:rsidRDefault="00041FE4" w:rsidP="00041FE4">
          <w:pPr>
            <w:pStyle w:val="Header"/>
            <w:rPr>
              <w:sz w:val="20"/>
              <w:szCs w:val="20"/>
            </w:rPr>
          </w:pPr>
        </w:p>
      </w:tc>
      <w:tc>
        <w:tcPr>
          <w:tcW w:w="2269" w:type="dxa"/>
          <w:vAlign w:val="bottom"/>
        </w:tcPr>
        <w:p w14:paraId="0023CF42" w14:textId="77777777" w:rsidR="00041FE4" w:rsidRPr="00601CC0" w:rsidRDefault="00041FE4" w:rsidP="00041FE4">
          <w:pPr>
            <w:pStyle w:val="Header"/>
            <w:rPr>
              <w:sz w:val="20"/>
              <w:szCs w:val="20"/>
            </w:rPr>
          </w:pPr>
        </w:p>
      </w:tc>
      <w:tc>
        <w:tcPr>
          <w:tcW w:w="2835" w:type="dxa"/>
          <w:vAlign w:val="bottom"/>
        </w:tcPr>
        <w:p w14:paraId="78D2C2CE" w14:textId="4B85A07B" w:rsidR="00041FE4" w:rsidRDefault="00041FE4" w:rsidP="00041FE4">
          <w:pPr>
            <w:pStyle w:val="Header"/>
            <w:ind w:right="33"/>
            <w:jc w:val="right"/>
            <w:rPr>
              <w:color w:val="690000"/>
              <w:sz w:val="18"/>
              <w:szCs w:val="18"/>
            </w:rPr>
          </w:pPr>
          <w:r>
            <w:rPr>
              <w:color w:val="690000"/>
              <w:sz w:val="18"/>
              <w:szCs w:val="18"/>
            </w:rPr>
            <w:t>(201</w:t>
          </w:r>
          <w:r w:rsidR="003F1215">
            <w:rPr>
              <w:color w:val="690000"/>
              <w:sz w:val="18"/>
              <w:szCs w:val="18"/>
            </w:rPr>
            <w:t>9</w:t>
          </w:r>
          <w:r>
            <w:rPr>
              <w:color w:val="690000"/>
              <w:sz w:val="18"/>
              <w:szCs w:val="18"/>
            </w:rPr>
            <w:t>)</w:t>
          </w:r>
          <w:r>
            <w:rPr>
              <w:color w:val="690000"/>
              <w:sz w:val="18"/>
              <w:szCs w:val="18"/>
            </w:rPr>
            <w:br/>
            <w:t>Manuskriptleitlinien</w:t>
          </w:r>
        </w:p>
        <w:p w14:paraId="48886301" w14:textId="77777777" w:rsidR="00041FE4" w:rsidRPr="00601CC0" w:rsidRDefault="00041FE4" w:rsidP="00041FE4">
          <w:pPr>
            <w:pStyle w:val="Header"/>
            <w:jc w:val="right"/>
            <w:rPr>
              <w:sz w:val="20"/>
              <w:szCs w:val="20"/>
            </w:rPr>
          </w:pPr>
        </w:p>
      </w:tc>
    </w:tr>
  </w:tbl>
  <w:p w14:paraId="5FD1C25A" w14:textId="77777777" w:rsidR="00041FE4" w:rsidRPr="008C35E6" w:rsidRDefault="00041FE4" w:rsidP="00BF25C8">
    <w:pPr>
      <w:pStyle w:val="Header"/>
      <w:pBdr>
        <w:top w:val="single" w:sz="4" w:space="1" w:color="690000"/>
      </w:pBdr>
      <w:rPr>
        <w:szCs w:val="24"/>
      </w:rPr>
    </w:pPr>
  </w:p>
  <w:p w14:paraId="0D19DEC6" w14:textId="77777777" w:rsidR="00041FE4" w:rsidRPr="00BF25C8" w:rsidRDefault="00041FE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9CCA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F68E5"/>
    <w:multiLevelType w:val="hybridMultilevel"/>
    <w:tmpl w:val="54A229D4"/>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 w15:restartNumberingAfterBreak="0">
    <w:nsid w:val="032E2AE9"/>
    <w:multiLevelType w:val="hybridMultilevel"/>
    <w:tmpl w:val="709C8CD4"/>
    <w:lvl w:ilvl="0" w:tplc="39AE563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253548"/>
    <w:multiLevelType w:val="hybridMultilevel"/>
    <w:tmpl w:val="40F68EEC"/>
    <w:lvl w:ilvl="0" w:tplc="5E22B67C">
      <w:start w:val="3"/>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15:restartNumberingAfterBreak="0">
    <w:nsid w:val="07AA34BB"/>
    <w:multiLevelType w:val="hybridMultilevel"/>
    <w:tmpl w:val="EB5230EA"/>
    <w:lvl w:ilvl="0" w:tplc="67F6A8C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24C0F10"/>
    <w:multiLevelType w:val="hybridMultilevel"/>
    <w:tmpl w:val="0006439A"/>
    <w:lvl w:ilvl="0" w:tplc="CBE46056">
      <w:start w:val="1"/>
      <w:numFmt w:val="bullet"/>
      <w:pStyle w:val="brListeEbene1ohneNummerierungElement1"/>
      <w:lvlText w:val="-"/>
      <w:lvlJc w:val="left"/>
      <w:pPr>
        <w:ind w:left="1776" w:hanging="360"/>
      </w:pPr>
      <w:rPr>
        <w:rFonts w:ascii="Calibri" w:hAnsi="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14972921"/>
    <w:multiLevelType w:val="hybridMultilevel"/>
    <w:tmpl w:val="0CCAF0E2"/>
    <w:lvl w:ilvl="0" w:tplc="98E288D0">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1117D4"/>
    <w:multiLevelType w:val="hybridMultilevel"/>
    <w:tmpl w:val="FFD8A636"/>
    <w:lvl w:ilvl="0" w:tplc="069A8E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62A71"/>
    <w:multiLevelType w:val="hybridMultilevel"/>
    <w:tmpl w:val="E3086A82"/>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1F2914AB"/>
    <w:multiLevelType w:val="hybridMultilevel"/>
    <w:tmpl w:val="84288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BE51A5"/>
    <w:multiLevelType w:val="hybridMultilevel"/>
    <w:tmpl w:val="78D89C22"/>
    <w:lvl w:ilvl="0" w:tplc="478EA214">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296F3DBB"/>
    <w:multiLevelType w:val="hybridMultilevel"/>
    <w:tmpl w:val="72A4A1AC"/>
    <w:lvl w:ilvl="0" w:tplc="AC6E757C">
      <w:start w:val="1"/>
      <w:numFmt w:val="bullet"/>
      <w:pStyle w:val="brListeEbene2ohneNummerierung"/>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31001A40"/>
    <w:multiLevelType w:val="multilevel"/>
    <w:tmpl w:val="3CC6CD34"/>
    <w:lvl w:ilvl="0">
      <w:start w:val="1"/>
      <w:numFmt w:val="decimal"/>
      <w:pStyle w:val="Heading2"/>
      <w:lvlText w:val="%1"/>
      <w:lvlJc w:val="left"/>
      <w:pPr>
        <w:ind w:left="720" w:hanging="360"/>
      </w:pPr>
      <w:rPr>
        <w:rFonts w:hint="default"/>
      </w:rPr>
    </w:lvl>
    <w:lvl w:ilvl="1">
      <w:start w:val="1"/>
      <w:numFmt w:val="decimal"/>
      <w:pStyle w:val="brberschriftEbene2mitNummerierung"/>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661B0"/>
    <w:multiLevelType w:val="hybridMultilevel"/>
    <w:tmpl w:val="5E7654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8C50E0"/>
    <w:multiLevelType w:val="hybridMultilevel"/>
    <w:tmpl w:val="C44AE84C"/>
    <w:lvl w:ilvl="0" w:tplc="6FE41B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5E3640"/>
    <w:multiLevelType w:val="hybridMultilevel"/>
    <w:tmpl w:val="CDE09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B11A1E"/>
    <w:multiLevelType w:val="hybridMultilevel"/>
    <w:tmpl w:val="0C5697F4"/>
    <w:lvl w:ilvl="0" w:tplc="EB8C1988">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7" w15:restartNumberingAfterBreak="0">
    <w:nsid w:val="45B1693B"/>
    <w:multiLevelType w:val="hybridMultilevel"/>
    <w:tmpl w:val="B602E824"/>
    <w:lvl w:ilvl="0" w:tplc="4C04C16A">
      <w:start w:val="1"/>
      <w:numFmt w:val="decimal"/>
      <w:pStyle w:val="brListeEbene1mitNummerierungElement1"/>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8" w15:restartNumberingAfterBreak="0">
    <w:nsid w:val="5A926C1D"/>
    <w:multiLevelType w:val="hybridMultilevel"/>
    <w:tmpl w:val="852ED888"/>
    <w:lvl w:ilvl="0" w:tplc="EAC8BFFC">
      <w:numFmt w:val="bullet"/>
      <w:lvlText w:val="-"/>
      <w:lvlJc w:val="left"/>
      <w:pPr>
        <w:ind w:left="720" w:hanging="360"/>
      </w:pPr>
      <w:rPr>
        <w:rFonts w:ascii="Calibri" w:eastAsiaTheme="minorEastAsia" w:hAnsi="Calibri" w:cstheme="minorBidi" w:hint="default"/>
      </w:rPr>
    </w:lvl>
    <w:lvl w:ilvl="1" w:tplc="ACC2FF32" w:tentative="1">
      <w:start w:val="1"/>
      <w:numFmt w:val="bullet"/>
      <w:lvlText w:val="o"/>
      <w:lvlJc w:val="left"/>
      <w:pPr>
        <w:ind w:left="1440" w:hanging="360"/>
      </w:pPr>
      <w:rPr>
        <w:rFonts w:ascii="Courier New" w:hAnsi="Courier New" w:cs="Courier New" w:hint="default"/>
      </w:rPr>
    </w:lvl>
    <w:lvl w:ilvl="2" w:tplc="C598E3B4" w:tentative="1">
      <w:start w:val="1"/>
      <w:numFmt w:val="bullet"/>
      <w:lvlText w:val=""/>
      <w:lvlJc w:val="left"/>
      <w:pPr>
        <w:ind w:left="2160" w:hanging="360"/>
      </w:pPr>
      <w:rPr>
        <w:rFonts w:ascii="Wingdings" w:hAnsi="Wingdings" w:hint="default"/>
      </w:rPr>
    </w:lvl>
    <w:lvl w:ilvl="3" w:tplc="14B24BA8" w:tentative="1">
      <w:start w:val="1"/>
      <w:numFmt w:val="bullet"/>
      <w:lvlText w:val=""/>
      <w:lvlJc w:val="left"/>
      <w:pPr>
        <w:ind w:left="2880" w:hanging="360"/>
      </w:pPr>
      <w:rPr>
        <w:rFonts w:ascii="Symbol" w:hAnsi="Symbol" w:hint="default"/>
      </w:rPr>
    </w:lvl>
    <w:lvl w:ilvl="4" w:tplc="03681E50" w:tentative="1">
      <w:start w:val="1"/>
      <w:numFmt w:val="bullet"/>
      <w:lvlText w:val="o"/>
      <w:lvlJc w:val="left"/>
      <w:pPr>
        <w:ind w:left="3600" w:hanging="360"/>
      </w:pPr>
      <w:rPr>
        <w:rFonts w:ascii="Courier New" w:hAnsi="Courier New" w:cs="Courier New" w:hint="default"/>
      </w:rPr>
    </w:lvl>
    <w:lvl w:ilvl="5" w:tplc="686E9B4E" w:tentative="1">
      <w:start w:val="1"/>
      <w:numFmt w:val="bullet"/>
      <w:lvlText w:val=""/>
      <w:lvlJc w:val="left"/>
      <w:pPr>
        <w:ind w:left="4320" w:hanging="360"/>
      </w:pPr>
      <w:rPr>
        <w:rFonts w:ascii="Wingdings" w:hAnsi="Wingdings" w:hint="default"/>
      </w:rPr>
    </w:lvl>
    <w:lvl w:ilvl="6" w:tplc="790E72BA" w:tentative="1">
      <w:start w:val="1"/>
      <w:numFmt w:val="bullet"/>
      <w:lvlText w:val=""/>
      <w:lvlJc w:val="left"/>
      <w:pPr>
        <w:ind w:left="5040" w:hanging="360"/>
      </w:pPr>
      <w:rPr>
        <w:rFonts w:ascii="Symbol" w:hAnsi="Symbol" w:hint="default"/>
      </w:rPr>
    </w:lvl>
    <w:lvl w:ilvl="7" w:tplc="BF128996" w:tentative="1">
      <w:start w:val="1"/>
      <w:numFmt w:val="bullet"/>
      <w:lvlText w:val="o"/>
      <w:lvlJc w:val="left"/>
      <w:pPr>
        <w:ind w:left="5760" w:hanging="360"/>
      </w:pPr>
      <w:rPr>
        <w:rFonts w:ascii="Courier New" w:hAnsi="Courier New" w:cs="Courier New" w:hint="default"/>
      </w:rPr>
    </w:lvl>
    <w:lvl w:ilvl="8" w:tplc="D6D076A8" w:tentative="1">
      <w:start w:val="1"/>
      <w:numFmt w:val="bullet"/>
      <w:lvlText w:val=""/>
      <w:lvlJc w:val="left"/>
      <w:pPr>
        <w:ind w:left="6480" w:hanging="360"/>
      </w:pPr>
      <w:rPr>
        <w:rFonts w:ascii="Wingdings" w:hAnsi="Wingdings" w:hint="default"/>
      </w:rPr>
    </w:lvl>
  </w:abstractNum>
  <w:abstractNum w:abstractNumId="19" w15:restartNumberingAfterBreak="0">
    <w:nsid w:val="5FBA314D"/>
    <w:multiLevelType w:val="hybridMultilevel"/>
    <w:tmpl w:val="A906E4BC"/>
    <w:lvl w:ilvl="0" w:tplc="B45C9BD2">
      <w:start w:val="1"/>
      <w:numFmt w:val="bullet"/>
      <w:pStyle w:val="brListeEbene1ohneNummerierungElement2"/>
      <w:lvlText w:val="-"/>
      <w:lvlJc w:val="left"/>
      <w:pPr>
        <w:ind w:left="1287" w:hanging="360"/>
      </w:pPr>
      <w:rPr>
        <w:rFonts w:ascii="Calibri" w:hAnsi="Calibri"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60340494"/>
    <w:multiLevelType w:val="hybridMultilevel"/>
    <w:tmpl w:val="840C4686"/>
    <w:lvl w:ilvl="0" w:tplc="206415BC">
      <w:start w:val="1"/>
      <w:numFmt w:val="decimal"/>
      <w:lvlText w:val="2.%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2C539F"/>
    <w:multiLevelType w:val="hybridMultilevel"/>
    <w:tmpl w:val="5E765474"/>
    <w:lvl w:ilvl="0" w:tplc="A51E0376">
      <w:start w:val="1"/>
      <w:numFmt w:val="decimal"/>
      <w:lvlText w:val="%1."/>
      <w:lvlJc w:val="left"/>
      <w:pPr>
        <w:ind w:left="720" w:hanging="360"/>
      </w:pPr>
      <w:rPr>
        <w:rFonts w:hint="default"/>
      </w:rPr>
    </w:lvl>
    <w:lvl w:ilvl="1" w:tplc="485A35E6" w:tentative="1">
      <w:start w:val="1"/>
      <w:numFmt w:val="lowerLetter"/>
      <w:lvlText w:val="%2."/>
      <w:lvlJc w:val="left"/>
      <w:pPr>
        <w:ind w:left="1440" w:hanging="360"/>
      </w:pPr>
    </w:lvl>
    <w:lvl w:ilvl="2" w:tplc="3BEE635A" w:tentative="1">
      <w:start w:val="1"/>
      <w:numFmt w:val="lowerRoman"/>
      <w:lvlText w:val="%3."/>
      <w:lvlJc w:val="right"/>
      <w:pPr>
        <w:ind w:left="2160" w:hanging="180"/>
      </w:pPr>
    </w:lvl>
    <w:lvl w:ilvl="3" w:tplc="079E992A" w:tentative="1">
      <w:start w:val="1"/>
      <w:numFmt w:val="decimal"/>
      <w:lvlText w:val="%4."/>
      <w:lvlJc w:val="left"/>
      <w:pPr>
        <w:ind w:left="2880" w:hanging="360"/>
      </w:pPr>
    </w:lvl>
    <w:lvl w:ilvl="4" w:tplc="53C08838" w:tentative="1">
      <w:start w:val="1"/>
      <w:numFmt w:val="lowerLetter"/>
      <w:lvlText w:val="%5."/>
      <w:lvlJc w:val="left"/>
      <w:pPr>
        <w:ind w:left="3600" w:hanging="360"/>
      </w:pPr>
    </w:lvl>
    <w:lvl w:ilvl="5" w:tplc="429A8794" w:tentative="1">
      <w:start w:val="1"/>
      <w:numFmt w:val="lowerRoman"/>
      <w:lvlText w:val="%6."/>
      <w:lvlJc w:val="right"/>
      <w:pPr>
        <w:ind w:left="4320" w:hanging="180"/>
      </w:pPr>
    </w:lvl>
    <w:lvl w:ilvl="6" w:tplc="D60E5CD2" w:tentative="1">
      <w:start w:val="1"/>
      <w:numFmt w:val="decimal"/>
      <w:lvlText w:val="%7."/>
      <w:lvlJc w:val="left"/>
      <w:pPr>
        <w:ind w:left="5040" w:hanging="360"/>
      </w:pPr>
    </w:lvl>
    <w:lvl w:ilvl="7" w:tplc="53F200C4" w:tentative="1">
      <w:start w:val="1"/>
      <w:numFmt w:val="lowerLetter"/>
      <w:lvlText w:val="%8."/>
      <w:lvlJc w:val="left"/>
      <w:pPr>
        <w:ind w:left="5760" w:hanging="360"/>
      </w:pPr>
    </w:lvl>
    <w:lvl w:ilvl="8" w:tplc="BF9AF8D0" w:tentative="1">
      <w:start w:val="1"/>
      <w:numFmt w:val="lowerRoman"/>
      <w:lvlText w:val="%9."/>
      <w:lvlJc w:val="right"/>
      <w:pPr>
        <w:ind w:left="6480" w:hanging="180"/>
      </w:pPr>
    </w:lvl>
  </w:abstractNum>
  <w:abstractNum w:abstractNumId="22" w15:restartNumberingAfterBreak="0">
    <w:nsid w:val="6F9E44C0"/>
    <w:multiLevelType w:val="hybridMultilevel"/>
    <w:tmpl w:val="842ADF0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8"/>
  </w:num>
  <w:num w:numId="2">
    <w:abstractNumId w:val="9"/>
  </w:num>
  <w:num w:numId="3">
    <w:abstractNumId w:val="1"/>
  </w:num>
  <w:num w:numId="4">
    <w:abstractNumId w:val="3"/>
  </w:num>
  <w:num w:numId="5">
    <w:abstractNumId w:val="21"/>
  </w:num>
  <w:num w:numId="6">
    <w:abstractNumId w:val="13"/>
  </w:num>
  <w:num w:numId="7">
    <w:abstractNumId w:val="4"/>
  </w:num>
  <w:num w:numId="8">
    <w:abstractNumId w:val="0"/>
  </w:num>
  <w:num w:numId="9">
    <w:abstractNumId w:val="6"/>
  </w:num>
  <w:num w:numId="10">
    <w:abstractNumId w:val="14"/>
  </w:num>
  <w:num w:numId="11">
    <w:abstractNumId w:val="16"/>
  </w:num>
  <w:num w:numId="12">
    <w:abstractNumId w:val="10"/>
  </w:num>
  <w:num w:numId="13">
    <w:abstractNumId w:val="2"/>
  </w:num>
  <w:num w:numId="14">
    <w:abstractNumId w:val="7"/>
  </w:num>
  <w:num w:numId="15">
    <w:abstractNumId w:val="12"/>
  </w:num>
  <w:num w:numId="16">
    <w:abstractNumId w:val="5"/>
  </w:num>
  <w:num w:numId="17">
    <w:abstractNumId w:val="8"/>
  </w:num>
  <w:num w:numId="18">
    <w:abstractNumId w:val="22"/>
  </w:num>
  <w:num w:numId="19">
    <w:abstractNumId w:val="15"/>
  </w:num>
  <w:num w:numId="20">
    <w:abstractNumId w:val="11"/>
  </w:num>
  <w:num w:numId="21">
    <w:abstractNumId w:val="20"/>
  </w:num>
  <w:num w:numId="22">
    <w:abstractNumId w:val="17"/>
  </w:num>
  <w:num w:numId="23">
    <w:abstractNumId w:val="17"/>
    <w:lvlOverride w:ilvl="0">
      <w:startOverride w:val="4"/>
    </w:lvlOverride>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6" w:nlCheck="1" w:checkStyle="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proofState w:spelling="clean" w:grammar="clean"/>
  <w:trackRevisions/>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52"/>
    <w:rsid w:val="000017D1"/>
    <w:rsid w:val="000049F2"/>
    <w:rsid w:val="00011CF2"/>
    <w:rsid w:val="00014689"/>
    <w:rsid w:val="000256B2"/>
    <w:rsid w:val="000365AD"/>
    <w:rsid w:val="00041FE4"/>
    <w:rsid w:val="000437C8"/>
    <w:rsid w:val="00044B69"/>
    <w:rsid w:val="00050751"/>
    <w:rsid w:val="00057B37"/>
    <w:rsid w:val="00080CC1"/>
    <w:rsid w:val="00087A86"/>
    <w:rsid w:val="000922E1"/>
    <w:rsid w:val="000A5385"/>
    <w:rsid w:val="000A657D"/>
    <w:rsid w:val="000B1220"/>
    <w:rsid w:val="000C0D2A"/>
    <w:rsid w:val="000C5707"/>
    <w:rsid w:val="000E5E85"/>
    <w:rsid w:val="000F5351"/>
    <w:rsid w:val="000F7DAA"/>
    <w:rsid w:val="0011553F"/>
    <w:rsid w:val="001241DA"/>
    <w:rsid w:val="0012689E"/>
    <w:rsid w:val="00126A09"/>
    <w:rsid w:val="001327F9"/>
    <w:rsid w:val="0014215D"/>
    <w:rsid w:val="00143128"/>
    <w:rsid w:val="00144A1E"/>
    <w:rsid w:val="00145FDB"/>
    <w:rsid w:val="00152384"/>
    <w:rsid w:val="00153606"/>
    <w:rsid w:val="00157BDA"/>
    <w:rsid w:val="00163258"/>
    <w:rsid w:val="00164FEC"/>
    <w:rsid w:val="001938D2"/>
    <w:rsid w:val="00195BB4"/>
    <w:rsid w:val="00195BB8"/>
    <w:rsid w:val="001A526B"/>
    <w:rsid w:val="001B44F9"/>
    <w:rsid w:val="001C0376"/>
    <w:rsid w:val="001C1222"/>
    <w:rsid w:val="001C381B"/>
    <w:rsid w:val="001C5F24"/>
    <w:rsid w:val="001D3370"/>
    <w:rsid w:val="001E3500"/>
    <w:rsid w:val="001F43F4"/>
    <w:rsid w:val="001F44C3"/>
    <w:rsid w:val="002014A2"/>
    <w:rsid w:val="00201E82"/>
    <w:rsid w:val="0021016C"/>
    <w:rsid w:val="002248F8"/>
    <w:rsid w:val="00227D8E"/>
    <w:rsid w:val="00227F7F"/>
    <w:rsid w:val="002363A1"/>
    <w:rsid w:val="002367DF"/>
    <w:rsid w:val="00237B74"/>
    <w:rsid w:val="0024142E"/>
    <w:rsid w:val="00250FFE"/>
    <w:rsid w:val="00275DBD"/>
    <w:rsid w:val="00283408"/>
    <w:rsid w:val="002867FE"/>
    <w:rsid w:val="00291B2E"/>
    <w:rsid w:val="00295F4F"/>
    <w:rsid w:val="0029607F"/>
    <w:rsid w:val="002A4647"/>
    <w:rsid w:val="002B156B"/>
    <w:rsid w:val="002B3A5C"/>
    <w:rsid w:val="002C51C1"/>
    <w:rsid w:val="002C52E1"/>
    <w:rsid w:val="002D5D37"/>
    <w:rsid w:val="002E5208"/>
    <w:rsid w:val="002F4518"/>
    <w:rsid w:val="0030462C"/>
    <w:rsid w:val="00310A85"/>
    <w:rsid w:val="0031357A"/>
    <w:rsid w:val="00316036"/>
    <w:rsid w:val="00324913"/>
    <w:rsid w:val="00333B40"/>
    <w:rsid w:val="003347F3"/>
    <w:rsid w:val="003405EB"/>
    <w:rsid w:val="00343ECA"/>
    <w:rsid w:val="00350D26"/>
    <w:rsid w:val="00352F05"/>
    <w:rsid w:val="00356F66"/>
    <w:rsid w:val="00357716"/>
    <w:rsid w:val="00361664"/>
    <w:rsid w:val="00364344"/>
    <w:rsid w:val="0038159D"/>
    <w:rsid w:val="00381EB4"/>
    <w:rsid w:val="00386565"/>
    <w:rsid w:val="00390859"/>
    <w:rsid w:val="003A008F"/>
    <w:rsid w:val="003B65E2"/>
    <w:rsid w:val="003E10C8"/>
    <w:rsid w:val="003F1215"/>
    <w:rsid w:val="003F36B4"/>
    <w:rsid w:val="003F6A1A"/>
    <w:rsid w:val="00400525"/>
    <w:rsid w:val="004015CA"/>
    <w:rsid w:val="00403256"/>
    <w:rsid w:val="00403EDF"/>
    <w:rsid w:val="00410298"/>
    <w:rsid w:val="00410515"/>
    <w:rsid w:val="00420236"/>
    <w:rsid w:val="0042028F"/>
    <w:rsid w:val="00450172"/>
    <w:rsid w:val="00470753"/>
    <w:rsid w:val="00476C32"/>
    <w:rsid w:val="00477737"/>
    <w:rsid w:val="004B6527"/>
    <w:rsid w:val="004B72EA"/>
    <w:rsid w:val="004C0C69"/>
    <w:rsid w:val="004C297B"/>
    <w:rsid w:val="004C2F78"/>
    <w:rsid w:val="004C41F7"/>
    <w:rsid w:val="004C48B2"/>
    <w:rsid w:val="004D52F4"/>
    <w:rsid w:val="004E6634"/>
    <w:rsid w:val="004F1945"/>
    <w:rsid w:val="0050318B"/>
    <w:rsid w:val="00507F9D"/>
    <w:rsid w:val="0053188B"/>
    <w:rsid w:val="0053292A"/>
    <w:rsid w:val="00532A3B"/>
    <w:rsid w:val="00533356"/>
    <w:rsid w:val="0053453E"/>
    <w:rsid w:val="00541019"/>
    <w:rsid w:val="00547842"/>
    <w:rsid w:val="00553318"/>
    <w:rsid w:val="005641A6"/>
    <w:rsid w:val="00564513"/>
    <w:rsid w:val="00567452"/>
    <w:rsid w:val="005712EE"/>
    <w:rsid w:val="00574B32"/>
    <w:rsid w:val="0058325E"/>
    <w:rsid w:val="00585366"/>
    <w:rsid w:val="005900CB"/>
    <w:rsid w:val="00590837"/>
    <w:rsid w:val="00591A7D"/>
    <w:rsid w:val="005A67AC"/>
    <w:rsid w:val="005B7700"/>
    <w:rsid w:val="005E369B"/>
    <w:rsid w:val="00601CC0"/>
    <w:rsid w:val="00606E22"/>
    <w:rsid w:val="00607BDB"/>
    <w:rsid w:val="00616B52"/>
    <w:rsid w:val="006209B1"/>
    <w:rsid w:val="00627941"/>
    <w:rsid w:val="00632054"/>
    <w:rsid w:val="00640B1A"/>
    <w:rsid w:val="00640F39"/>
    <w:rsid w:val="00647E56"/>
    <w:rsid w:val="00652A12"/>
    <w:rsid w:val="00653039"/>
    <w:rsid w:val="00655F1A"/>
    <w:rsid w:val="00673E39"/>
    <w:rsid w:val="006759E4"/>
    <w:rsid w:val="00683618"/>
    <w:rsid w:val="00685F66"/>
    <w:rsid w:val="006968AE"/>
    <w:rsid w:val="006A4094"/>
    <w:rsid w:val="006B4861"/>
    <w:rsid w:val="006B5C69"/>
    <w:rsid w:val="006C4542"/>
    <w:rsid w:val="006E034C"/>
    <w:rsid w:val="006E5786"/>
    <w:rsid w:val="006F5120"/>
    <w:rsid w:val="00706393"/>
    <w:rsid w:val="00710ED6"/>
    <w:rsid w:val="007168AE"/>
    <w:rsid w:val="007319C3"/>
    <w:rsid w:val="007373FC"/>
    <w:rsid w:val="00741755"/>
    <w:rsid w:val="00747572"/>
    <w:rsid w:val="00757B22"/>
    <w:rsid w:val="007634FE"/>
    <w:rsid w:val="00772D66"/>
    <w:rsid w:val="00780C3B"/>
    <w:rsid w:val="0079156A"/>
    <w:rsid w:val="00792B68"/>
    <w:rsid w:val="00795098"/>
    <w:rsid w:val="007A2966"/>
    <w:rsid w:val="007B31C9"/>
    <w:rsid w:val="007B70D8"/>
    <w:rsid w:val="007C1728"/>
    <w:rsid w:val="007C54E4"/>
    <w:rsid w:val="007D271D"/>
    <w:rsid w:val="007D6D5B"/>
    <w:rsid w:val="007E6BB4"/>
    <w:rsid w:val="007F211B"/>
    <w:rsid w:val="00801679"/>
    <w:rsid w:val="00811FA4"/>
    <w:rsid w:val="00816F67"/>
    <w:rsid w:val="0082306A"/>
    <w:rsid w:val="00826B66"/>
    <w:rsid w:val="0083699F"/>
    <w:rsid w:val="00843A11"/>
    <w:rsid w:val="00846E8B"/>
    <w:rsid w:val="00851845"/>
    <w:rsid w:val="00851EC9"/>
    <w:rsid w:val="00855278"/>
    <w:rsid w:val="008563A1"/>
    <w:rsid w:val="00856690"/>
    <w:rsid w:val="00861641"/>
    <w:rsid w:val="008644BD"/>
    <w:rsid w:val="0087326E"/>
    <w:rsid w:val="00890BDA"/>
    <w:rsid w:val="008A142F"/>
    <w:rsid w:val="008A70E2"/>
    <w:rsid w:val="008B6440"/>
    <w:rsid w:val="008B6CBC"/>
    <w:rsid w:val="008C1A24"/>
    <w:rsid w:val="008C35E6"/>
    <w:rsid w:val="008C54D6"/>
    <w:rsid w:val="008D51A3"/>
    <w:rsid w:val="008D57A4"/>
    <w:rsid w:val="00900024"/>
    <w:rsid w:val="00900390"/>
    <w:rsid w:val="00910256"/>
    <w:rsid w:val="009258D3"/>
    <w:rsid w:val="009420D3"/>
    <w:rsid w:val="0094640A"/>
    <w:rsid w:val="0096075F"/>
    <w:rsid w:val="00974831"/>
    <w:rsid w:val="00977E43"/>
    <w:rsid w:val="009802C7"/>
    <w:rsid w:val="00982202"/>
    <w:rsid w:val="00993B87"/>
    <w:rsid w:val="00996C09"/>
    <w:rsid w:val="009A4570"/>
    <w:rsid w:val="009A475F"/>
    <w:rsid w:val="009A67F6"/>
    <w:rsid w:val="009B38B3"/>
    <w:rsid w:val="009C686E"/>
    <w:rsid w:val="009C7055"/>
    <w:rsid w:val="009D31D9"/>
    <w:rsid w:val="009D5AF1"/>
    <w:rsid w:val="009D7605"/>
    <w:rsid w:val="009E0756"/>
    <w:rsid w:val="009E0AD0"/>
    <w:rsid w:val="009F1BCF"/>
    <w:rsid w:val="009F25F8"/>
    <w:rsid w:val="009F31E3"/>
    <w:rsid w:val="009F4BF5"/>
    <w:rsid w:val="00A16037"/>
    <w:rsid w:val="00A222B8"/>
    <w:rsid w:val="00A23DC2"/>
    <w:rsid w:val="00A35BF3"/>
    <w:rsid w:val="00A4331C"/>
    <w:rsid w:val="00A52F0D"/>
    <w:rsid w:val="00A53D63"/>
    <w:rsid w:val="00A81997"/>
    <w:rsid w:val="00A81B19"/>
    <w:rsid w:val="00A81DA1"/>
    <w:rsid w:val="00A83414"/>
    <w:rsid w:val="00A851E5"/>
    <w:rsid w:val="00A85CAB"/>
    <w:rsid w:val="00A87617"/>
    <w:rsid w:val="00A943C1"/>
    <w:rsid w:val="00AA4C80"/>
    <w:rsid w:val="00AA67B1"/>
    <w:rsid w:val="00AC1AE7"/>
    <w:rsid w:val="00AC3ADB"/>
    <w:rsid w:val="00AC4FB5"/>
    <w:rsid w:val="00AC5D9B"/>
    <w:rsid w:val="00AC6E19"/>
    <w:rsid w:val="00AC7C02"/>
    <w:rsid w:val="00AD48DB"/>
    <w:rsid w:val="00AE5065"/>
    <w:rsid w:val="00AE7FCA"/>
    <w:rsid w:val="00AF74F3"/>
    <w:rsid w:val="00B03976"/>
    <w:rsid w:val="00B06221"/>
    <w:rsid w:val="00B069AF"/>
    <w:rsid w:val="00B10694"/>
    <w:rsid w:val="00B149AC"/>
    <w:rsid w:val="00B161C3"/>
    <w:rsid w:val="00B37386"/>
    <w:rsid w:val="00B4012B"/>
    <w:rsid w:val="00B50664"/>
    <w:rsid w:val="00B543F5"/>
    <w:rsid w:val="00B60C9C"/>
    <w:rsid w:val="00B60DA6"/>
    <w:rsid w:val="00B61D49"/>
    <w:rsid w:val="00B6451D"/>
    <w:rsid w:val="00B75ED4"/>
    <w:rsid w:val="00BA3D1B"/>
    <w:rsid w:val="00BA5C22"/>
    <w:rsid w:val="00BB0AE7"/>
    <w:rsid w:val="00BB1609"/>
    <w:rsid w:val="00BD01AA"/>
    <w:rsid w:val="00BE3FC0"/>
    <w:rsid w:val="00BF25C8"/>
    <w:rsid w:val="00BF7F9D"/>
    <w:rsid w:val="00C012B1"/>
    <w:rsid w:val="00C01A00"/>
    <w:rsid w:val="00C0350D"/>
    <w:rsid w:val="00C1175C"/>
    <w:rsid w:val="00C160BD"/>
    <w:rsid w:val="00C2163F"/>
    <w:rsid w:val="00C376C7"/>
    <w:rsid w:val="00C44053"/>
    <w:rsid w:val="00C50B1B"/>
    <w:rsid w:val="00C54BCC"/>
    <w:rsid w:val="00C60E0C"/>
    <w:rsid w:val="00C612A0"/>
    <w:rsid w:val="00C62E5A"/>
    <w:rsid w:val="00C63E6B"/>
    <w:rsid w:val="00C65816"/>
    <w:rsid w:val="00C670F8"/>
    <w:rsid w:val="00C7073B"/>
    <w:rsid w:val="00C7131E"/>
    <w:rsid w:val="00C82C80"/>
    <w:rsid w:val="00C83477"/>
    <w:rsid w:val="00C91FE4"/>
    <w:rsid w:val="00C972B0"/>
    <w:rsid w:val="00C97715"/>
    <w:rsid w:val="00CA714E"/>
    <w:rsid w:val="00CB448A"/>
    <w:rsid w:val="00CB53B5"/>
    <w:rsid w:val="00CC0A04"/>
    <w:rsid w:val="00CC402F"/>
    <w:rsid w:val="00CC5B2F"/>
    <w:rsid w:val="00CD639F"/>
    <w:rsid w:val="00CE2845"/>
    <w:rsid w:val="00CF3459"/>
    <w:rsid w:val="00CF3841"/>
    <w:rsid w:val="00CF4652"/>
    <w:rsid w:val="00CF4E3C"/>
    <w:rsid w:val="00D03844"/>
    <w:rsid w:val="00D068E8"/>
    <w:rsid w:val="00D10C88"/>
    <w:rsid w:val="00D16AED"/>
    <w:rsid w:val="00D20CEC"/>
    <w:rsid w:val="00D26D10"/>
    <w:rsid w:val="00D30545"/>
    <w:rsid w:val="00D36F66"/>
    <w:rsid w:val="00D45419"/>
    <w:rsid w:val="00D6200E"/>
    <w:rsid w:val="00D623D3"/>
    <w:rsid w:val="00D67BBC"/>
    <w:rsid w:val="00D8631E"/>
    <w:rsid w:val="00DA3A9C"/>
    <w:rsid w:val="00DD4F15"/>
    <w:rsid w:val="00DF0E0F"/>
    <w:rsid w:val="00DF207D"/>
    <w:rsid w:val="00E02F76"/>
    <w:rsid w:val="00E13931"/>
    <w:rsid w:val="00E235EF"/>
    <w:rsid w:val="00E319E3"/>
    <w:rsid w:val="00E44F26"/>
    <w:rsid w:val="00E47FBD"/>
    <w:rsid w:val="00E57E1F"/>
    <w:rsid w:val="00E631F3"/>
    <w:rsid w:val="00E85B76"/>
    <w:rsid w:val="00E967C0"/>
    <w:rsid w:val="00EB0E93"/>
    <w:rsid w:val="00EB323C"/>
    <w:rsid w:val="00EB63EB"/>
    <w:rsid w:val="00EC0F9C"/>
    <w:rsid w:val="00EE2EBE"/>
    <w:rsid w:val="00EE6CFD"/>
    <w:rsid w:val="00EF0248"/>
    <w:rsid w:val="00F11623"/>
    <w:rsid w:val="00F11DAC"/>
    <w:rsid w:val="00F151CD"/>
    <w:rsid w:val="00F21D30"/>
    <w:rsid w:val="00F32C31"/>
    <w:rsid w:val="00F32F55"/>
    <w:rsid w:val="00F37433"/>
    <w:rsid w:val="00F4149A"/>
    <w:rsid w:val="00F4542F"/>
    <w:rsid w:val="00F47A5A"/>
    <w:rsid w:val="00F47B68"/>
    <w:rsid w:val="00F53B29"/>
    <w:rsid w:val="00F56FC3"/>
    <w:rsid w:val="00F5707B"/>
    <w:rsid w:val="00F6728B"/>
    <w:rsid w:val="00F727D6"/>
    <w:rsid w:val="00F9496B"/>
    <w:rsid w:val="00F95824"/>
    <w:rsid w:val="00FA40CD"/>
    <w:rsid w:val="00FA559F"/>
    <w:rsid w:val="00FB582E"/>
    <w:rsid w:val="00FC0E0E"/>
    <w:rsid w:val="00FC2041"/>
    <w:rsid w:val="00FC4216"/>
    <w:rsid w:val="00FC599E"/>
    <w:rsid w:val="00FF7E1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AB0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1B2E"/>
  </w:style>
  <w:style w:type="paragraph" w:styleId="Heading1">
    <w:name w:val="heading 1"/>
    <w:basedOn w:val="Normal"/>
    <w:next w:val="Normal"/>
    <w:link w:val="Heading1Char"/>
    <w:autoRedefine/>
    <w:rsid w:val="00011CF2"/>
    <w:pPr>
      <w:keepNext/>
      <w:keepLines/>
      <w:tabs>
        <w:tab w:val="num" w:pos="432"/>
      </w:tabs>
      <w:spacing w:before="200" w:after="120" w:line="240" w:lineRule="auto"/>
      <w:ind w:left="432" w:hanging="432"/>
      <w:jc w:val="both"/>
      <w:outlineLvl w:val="0"/>
    </w:pPr>
    <w:rPr>
      <w:rFonts w:eastAsiaTheme="majorEastAsia" w:cs="Times New Roman"/>
      <w:b/>
      <w:bCs/>
      <w:szCs w:val="24"/>
      <w:lang w:eastAsia="ja-JP"/>
    </w:rPr>
  </w:style>
  <w:style w:type="paragraph" w:styleId="Heading2">
    <w:name w:val="heading 2"/>
    <w:basedOn w:val="Normal"/>
    <w:next w:val="Normal"/>
    <w:link w:val="Heading2Char"/>
    <w:autoRedefine/>
    <w:uiPriority w:val="9"/>
    <w:unhideWhenUsed/>
    <w:rsid w:val="00153606"/>
    <w:pPr>
      <w:keepNext/>
      <w:keepLines/>
      <w:numPr>
        <w:numId w:val="15"/>
      </w:numPr>
      <w:tabs>
        <w:tab w:val="left" w:pos="0"/>
        <w:tab w:val="left" w:pos="426"/>
      </w:tabs>
      <w:spacing w:before="360" w:after="240" w:line="360" w:lineRule="auto"/>
      <w:ind w:left="0" w:firstLine="0"/>
      <w:jc w:val="both"/>
      <w:outlineLvl w:val="1"/>
    </w:pPr>
    <w:rPr>
      <w:rFonts w:cs="Times New Roman"/>
      <w:b/>
      <w:bCs/>
      <w:szCs w:val="24"/>
      <w:lang w:eastAsia="ja-JP"/>
    </w:rPr>
  </w:style>
  <w:style w:type="paragraph" w:styleId="Heading3">
    <w:name w:val="heading 3"/>
    <w:basedOn w:val="Normal"/>
    <w:next w:val="Normal"/>
    <w:link w:val="Heading3Char"/>
    <w:autoRedefine/>
    <w:rsid w:val="00C63E6B"/>
    <w:pPr>
      <w:keepNext/>
      <w:spacing w:before="360" w:after="120" w:line="300" w:lineRule="exact"/>
      <w:jc w:val="both"/>
      <w:outlineLvl w:val="2"/>
    </w:pPr>
    <w:rPr>
      <w:rFonts w:ascii="Times New Roman" w:hAnsi="Times New Roman" w:cs="Times New Roman"/>
      <w:b/>
      <w:szCs w:val="24"/>
      <w:lang w:eastAsia="en-US"/>
    </w:rPr>
  </w:style>
  <w:style w:type="paragraph" w:styleId="Heading4">
    <w:name w:val="heading 4"/>
    <w:basedOn w:val="Normal"/>
    <w:next w:val="Normal"/>
    <w:link w:val="Heading4Char"/>
    <w:autoRedefine/>
    <w:unhideWhenUsed/>
    <w:rsid w:val="00C63E6B"/>
    <w:pPr>
      <w:keepNext/>
      <w:keepLines/>
      <w:spacing w:before="240" w:after="240" w:line="360" w:lineRule="auto"/>
      <w:jc w:val="both"/>
      <w:outlineLvl w:val="3"/>
    </w:pPr>
    <w:rPr>
      <w:rFonts w:ascii="Times New Roman" w:eastAsiaTheme="majorEastAsia" w:hAnsi="Times New Roman" w:cs="Times New Roman"/>
      <w:b/>
      <w:iCs/>
      <w:lang w:eastAsia="ja-JP"/>
    </w:rPr>
  </w:style>
  <w:style w:type="paragraph" w:styleId="Heading5">
    <w:name w:val="heading 5"/>
    <w:basedOn w:val="Heading4"/>
    <w:next w:val="Normal"/>
    <w:link w:val="Heading5Char"/>
    <w:autoRedefine/>
    <w:rsid w:val="005641A6"/>
    <w:pPr>
      <w:pBdr>
        <w:top w:val="single" w:sz="6" w:space="6" w:color="808080"/>
        <w:bottom w:val="single" w:sz="6" w:space="6" w:color="808080"/>
      </w:pBdr>
      <w:tabs>
        <w:tab w:val="num" w:pos="1008"/>
      </w:tabs>
      <w:spacing w:line="240" w:lineRule="auto"/>
      <w:ind w:left="1008" w:hanging="1008"/>
      <w:outlineLvl w:val="4"/>
    </w:pPr>
    <w:rPr>
      <w:rFonts w:ascii="Arial" w:eastAsia="MS Mincho" w:hAnsi="Arial"/>
      <w:bCs/>
      <w:iCs w:val="0"/>
      <w:spacing w:val="5"/>
      <w:kern w:val="20"/>
      <w:szCs w:val="20"/>
      <w:lang w:eastAsia="en-US"/>
    </w:rPr>
  </w:style>
  <w:style w:type="paragraph" w:styleId="Heading7">
    <w:name w:val="heading 7"/>
    <w:basedOn w:val="Normal"/>
    <w:next w:val="Normal"/>
    <w:link w:val="Heading7Char"/>
    <w:rsid w:val="005641A6"/>
    <w:pPr>
      <w:keepNext/>
      <w:keepLines/>
      <w:tabs>
        <w:tab w:val="num" w:pos="1296"/>
      </w:tabs>
      <w:spacing w:after="0" w:line="240" w:lineRule="auto"/>
      <w:ind w:left="1296" w:hanging="1296"/>
      <w:jc w:val="both"/>
      <w:outlineLvl w:val="6"/>
    </w:pPr>
    <w:rPr>
      <w:rFonts w:ascii="Garamond" w:hAnsi="Garamond" w:cs="Times New Roman"/>
      <w:caps/>
      <w:kern w:val="20"/>
      <w:sz w:val="18"/>
      <w:szCs w:val="24"/>
      <w:lang w:eastAsia="en-US"/>
    </w:rPr>
  </w:style>
  <w:style w:type="paragraph" w:styleId="Heading8">
    <w:name w:val="heading 8"/>
    <w:basedOn w:val="Normal"/>
    <w:next w:val="Normal"/>
    <w:link w:val="Heading8Char"/>
    <w:rsid w:val="005641A6"/>
    <w:pPr>
      <w:keepNext/>
      <w:keepLines/>
      <w:tabs>
        <w:tab w:val="num" w:pos="1440"/>
      </w:tabs>
      <w:spacing w:after="0" w:line="240" w:lineRule="auto"/>
      <w:ind w:left="1440" w:hanging="1440"/>
      <w:jc w:val="both"/>
      <w:outlineLvl w:val="7"/>
    </w:pPr>
    <w:rPr>
      <w:rFonts w:ascii="Garamond" w:hAnsi="Garamond" w:cs="Times New Roman"/>
      <w:i/>
      <w:spacing w:val="5"/>
      <w:kern w:val="20"/>
      <w:szCs w:val="24"/>
      <w:lang w:eastAsia="en-US"/>
    </w:rPr>
  </w:style>
  <w:style w:type="paragraph" w:styleId="Heading9">
    <w:name w:val="heading 9"/>
    <w:basedOn w:val="Normal"/>
    <w:next w:val="Normal"/>
    <w:link w:val="Heading9Char"/>
    <w:rsid w:val="005641A6"/>
    <w:pPr>
      <w:keepNext/>
      <w:keepLines/>
      <w:tabs>
        <w:tab w:val="num" w:pos="1584"/>
      </w:tabs>
      <w:spacing w:after="0" w:line="240" w:lineRule="auto"/>
      <w:ind w:left="1584" w:hanging="1584"/>
      <w:jc w:val="both"/>
      <w:outlineLvl w:val="8"/>
    </w:pPr>
    <w:rPr>
      <w:rFonts w:ascii="Garamond" w:hAnsi="Garamond" w:cs="Times New Roman"/>
      <w:spacing w:val="-5"/>
      <w:kern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4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7452"/>
  </w:style>
  <w:style w:type="paragraph" w:styleId="Footer">
    <w:name w:val="footer"/>
    <w:basedOn w:val="Normal"/>
    <w:link w:val="FooterChar"/>
    <w:uiPriority w:val="99"/>
    <w:unhideWhenUsed/>
    <w:rsid w:val="00567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7452"/>
  </w:style>
  <w:style w:type="table" w:styleId="TableGrid">
    <w:name w:val="Table Grid"/>
    <w:basedOn w:val="TableNormal"/>
    <w:uiPriority w:val="59"/>
    <w:rsid w:val="0056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Langzitat">
    <w:name w:val="br Langzitat"/>
    <w:basedOn w:val="Normal"/>
    <w:next w:val="brHaupttextlateinischAbsatz1"/>
    <w:qFormat/>
    <w:rsid w:val="001A526B"/>
    <w:pPr>
      <w:spacing w:before="240" w:after="240"/>
      <w:ind w:left="851" w:right="539"/>
      <w:jc w:val="both"/>
    </w:pPr>
  </w:style>
  <w:style w:type="paragraph" w:customStyle="1" w:styleId="brFunoten">
    <w:name w:val="br Fußnoten"/>
    <w:basedOn w:val="FootnoteText"/>
    <w:qFormat/>
    <w:rsid w:val="002014A2"/>
    <w:rPr>
      <w:sz w:val="22"/>
      <w:szCs w:val="22"/>
    </w:rPr>
  </w:style>
  <w:style w:type="character" w:customStyle="1" w:styleId="Heading1Char">
    <w:name w:val="Heading 1 Char"/>
    <w:basedOn w:val="DefaultParagraphFont"/>
    <w:link w:val="Heading1"/>
    <w:rsid w:val="00011CF2"/>
    <w:rPr>
      <w:rFonts w:eastAsiaTheme="majorEastAsia" w:cs="Times New Roman"/>
      <w:b/>
      <w:bCs/>
      <w:sz w:val="24"/>
      <w:szCs w:val="24"/>
      <w:lang w:eastAsia="ja-JP"/>
    </w:rPr>
  </w:style>
  <w:style w:type="character" w:customStyle="1" w:styleId="Heading2Char">
    <w:name w:val="Heading 2 Char"/>
    <w:basedOn w:val="DefaultParagraphFont"/>
    <w:link w:val="Heading2"/>
    <w:uiPriority w:val="9"/>
    <w:rsid w:val="00153606"/>
    <w:rPr>
      <w:rFonts w:ascii="Calibri" w:eastAsia="MS Mincho" w:hAnsi="Calibri" w:cs="Times New Roman"/>
      <w:b/>
      <w:bCs/>
      <w:sz w:val="24"/>
      <w:szCs w:val="24"/>
      <w:lang w:eastAsia="ja-JP"/>
    </w:rPr>
  </w:style>
  <w:style w:type="character" w:customStyle="1" w:styleId="Heading3Char">
    <w:name w:val="Heading 3 Char"/>
    <w:basedOn w:val="DefaultParagraphFont"/>
    <w:link w:val="Heading3"/>
    <w:rsid w:val="00C63E6B"/>
    <w:rPr>
      <w:rFonts w:ascii="Times New Roman" w:eastAsia="MS Mincho" w:hAnsi="Times New Roman" w:cs="Times New Roman"/>
      <w:b/>
      <w:sz w:val="24"/>
      <w:szCs w:val="24"/>
      <w:lang w:eastAsia="en-US"/>
    </w:rPr>
  </w:style>
  <w:style w:type="character" w:customStyle="1" w:styleId="Heading4Char">
    <w:name w:val="Heading 4 Char"/>
    <w:basedOn w:val="DefaultParagraphFont"/>
    <w:link w:val="Heading4"/>
    <w:uiPriority w:val="9"/>
    <w:rsid w:val="00C63E6B"/>
    <w:rPr>
      <w:rFonts w:ascii="Times New Roman" w:eastAsiaTheme="majorEastAsia" w:hAnsi="Times New Roman" w:cs="Times New Roman"/>
      <w:b/>
      <w:iCs/>
      <w:sz w:val="24"/>
      <w:lang w:eastAsia="ja-JP"/>
    </w:rPr>
  </w:style>
  <w:style w:type="paragraph" w:styleId="FootnoteText">
    <w:name w:val="footnote text"/>
    <w:basedOn w:val="Normal"/>
    <w:link w:val="FootnoteTextChar"/>
    <w:unhideWhenUsed/>
    <w:rsid w:val="00855278"/>
    <w:pPr>
      <w:spacing w:after="0" w:line="240" w:lineRule="auto"/>
      <w:jc w:val="both"/>
    </w:pPr>
    <w:rPr>
      <w:rFonts w:cs="Times New Roman"/>
      <w:sz w:val="20"/>
      <w:szCs w:val="20"/>
      <w:lang w:eastAsia="ja-JP"/>
    </w:rPr>
  </w:style>
  <w:style w:type="character" w:customStyle="1" w:styleId="FootnoteTextChar">
    <w:name w:val="Footnote Text Char"/>
    <w:basedOn w:val="DefaultParagraphFont"/>
    <w:link w:val="FootnoteText"/>
    <w:rsid w:val="00855278"/>
    <w:rPr>
      <w:rFonts w:cs="Times New Roman"/>
      <w:sz w:val="20"/>
      <w:szCs w:val="20"/>
      <w:lang w:eastAsia="ja-JP"/>
    </w:rPr>
  </w:style>
  <w:style w:type="character" w:styleId="FootnoteReference">
    <w:name w:val="footnote reference"/>
    <w:basedOn w:val="DefaultParagraphFont"/>
    <w:semiHidden/>
    <w:unhideWhenUsed/>
    <w:rsid w:val="00C63E6B"/>
    <w:rPr>
      <w:vertAlign w:val="superscript"/>
    </w:rPr>
  </w:style>
  <w:style w:type="paragraph" w:customStyle="1" w:styleId="brberschriftEbene1ohneNummerierung">
    <w:name w:val="br Überschrift Ebene 1 (ohne Nummerierung)"/>
    <w:basedOn w:val="Normal"/>
    <w:qFormat/>
    <w:rsid w:val="0053292A"/>
    <w:pPr>
      <w:keepNext/>
      <w:keepLines/>
      <w:tabs>
        <w:tab w:val="left" w:pos="0"/>
        <w:tab w:val="left" w:pos="426"/>
      </w:tabs>
      <w:spacing w:before="360" w:after="240" w:line="360" w:lineRule="auto"/>
      <w:jc w:val="both"/>
      <w:outlineLvl w:val="0"/>
    </w:pPr>
    <w:rPr>
      <w:rFonts w:cs="Times New Roman"/>
      <w:b/>
      <w:bCs/>
      <w:sz w:val="24"/>
      <w:szCs w:val="24"/>
      <w:lang w:eastAsia="ja-JP"/>
    </w:rPr>
  </w:style>
  <w:style w:type="paragraph" w:styleId="NormalWeb">
    <w:name w:val="Normal (Web)"/>
    <w:basedOn w:val="Normal"/>
    <w:uiPriority w:val="99"/>
    <w:semiHidden/>
    <w:unhideWhenUsed/>
    <w:rsid w:val="00C63E6B"/>
    <w:pPr>
      <w:spacing w:line="360" w:lineRule="auto"/>
      <w:jc w:val="both"/>
    </w:pPr>
    <w:rPr>
      <w:rFonts w:ascii="Times New Roman" w:hAnsi="Times New Roman" w:cs="Times New Roman"/>
      <w:szCs w:val="24"/>
      <w:lang w:eastAsia="ja-JP"/>
    </w:rPr>
  </w:style>
  <w:style w:type="paragraph" w:customStyle="1" w:styleId="brListeEbene1mitNummerierungElement1">
    <w:name w:val="br Liste Ebene 1 (mit Nummerierung Element 1)"/>
    <w:basedOn w:val="Normal"/>
    <w:next w:val="brListeEbene1ohneNummerierungElement2"/>
    <w:qFormat/>
    <w:rsid w:val="0087326E"/>
    <w:pPr>
      <w:numPr>
        <w:numId w:val="22"/>
      </w:numPr>
      <w:spacing w:before="240" w:after="0"/>
      <w:ind w:left="1417" w:hanging="425"/>
      <w:jc w:val="both"/>
    </w:pPr>
    <w:rPr>
      <w:szCs w:val="24"/>
    </w:rPr>
  </w:style>
  <w:style w:type="paragraph" w:styleId="BalloonText">
    <w:name w:val="Balloon Text"/>
    <w:basedOn w:val="Normal"/>
    <w:link w:val="BalloonTextChar"/>
    <w:uiPriority w:val="99"/>
    <w:semiHidden/>
    <w:unhideWhenUsed/>
    <w:rsid w:val="00C63E6B"/>
    <w:pPr>
      <w:spacing w:after="0" w:line="240" w:lineRule="auto"/>
      <w:jc w:val="both"/>
    </w:pPr>
    <w:rPr>
      <w:rFonts w:ascii="Segoe UI" w:hAnsi="Segoe UI" w:cs="Segoe UI"/>
      <w:sz w:val="18"/>
      <w:szCs w:val="18"/>
      <w:lang w:eastAsia="ja-JP"/>
    </w:rPr>
  </w:style>
  <w:style w:type="character" w:customStyle="1" w:styleId="BalloonTextChar">
    <w:name w:val="Balloon Text Char"/>
    <w:basedOn w:val="DefaultParagraphFont"/>
    <w:link w:val="BalloonText"/>
    <w:uiPriority w:val="99"/>
    <w:semiHidden/>
    <w:rsid w:val="00C63E6B"/>
    <w:rPr>
      <w:rFonts w:ascii="Segoe UI" w:hAnsi="Segoe UI" w:cs="Segoe UI"/>
      <w:sz w:val="18"/>
      <w:szCs w:val="18"/>
      <w:lang w:eastAsia="ja-JP"/>
    </w:rPr>
  </w:style>
  <w:style w:type="paragraph" w:customStyle="1" w:styleId="brTitel">
    <w:name w:val="br Titel"/>
    <w:basedOn w:val="Normal"/>
    <w:next w:val="Normal"/>
    <w:qFormat/>
    <w:rsid w:val="00275DBD"/>
    <w:pPr>
      <w:spacing w:after="0" w:line="240" w:lineRule="auto"/>
      <w:jc w:val="center"/>
    </w:pPr>
    <w:rPr>
      <w:sz w:val="32"/>
      <w:szCs w:val="32"/>
    </w:rPr>
  </w:style>
  <w:style w:type="paragraph" w:customStyle="1" w:styleId="brAutor">
    <w:name w:val="br Autor"/>
    <w:basedOn w:val="Normal"/>
    <w:next w:val="Normal"/>
    <w:qFormat/>
    <w:rsid w:val="00275DBD"/>
    <w:pPr>
      <w:spacing w:after="240" w:line="240" w:lineRule="auto"/>
      <w:jc w:val="center"/>
    </w:pPr>
  </w:style>
  <w:style w:type="paragraph" w:customStyle="1" w:styleId="brAngabeLiteraturverzeichnis">
    <w:name w:val="br Angabe Literaturverzeichnis"/>
    <w:basedOn w:val="Normal"/>
    <w:qFormat/>
    <w:rsid w:val="00143128"/>
    <w:pPr>
      <w:spacing w:after="0" w:line="240" w:lineRule="auto"/>
      <w:ind w:left="567" w:hanging="567"/>
      <w:jc w:val="both"/>
    </w:pPr>
    <w:rPr>
      <w:sz w:val="24"/>
      <w:szCs w:val="24"/>
    </w:rPr>
  </w:style>
  <w:style w:type="character" w:styleId="HTMLCite">
    <w:name w:val="HTML Cite"/>
    <w:basedOn w:val="DefaultParagraphFont"/>
    <w:uiPriority w:val="99"/>
    <w:semiHidden/>
    <w:unhideWhenUsed/>
    <w:rsid w:val="00C63E6B"/>
    <w:rPr>
      <w:i/>
      <w:iCs/>
    </w:rPr>
  </w:style>
  <w:style w:type="character" w:styleId="CommentReference">
    <w:name w:val="annotation reference"/>
    <w:basedOn w:val="DefaultParagraphFont"/>
    <w:uiPriority w:val="99"/>
    <w:semiHidden/>
    <w:unhideWhenUsed/>
    <w:rsid w:val="00C63E6B"/>
    <w:rPr>
      <w:sz w:val="16"/>
      <w:szCs w:val="16"/>
    </w:rPr>
  </w:style>
  <w:style w:type="paragraph" w:styleId="CommentText">
    <w:name w:val="annotation text"/>
    <w:basedOn w:val="Normal"/>
    <w:link w:val="CommentTextChar"/>
    <w:uiPriority w:val="99"/>
    <w:semiHidden/>
    <w:unhideWhenUsed/>
    <w:rsid w:val="00C63E6B"/>
    <w:pPr>
      <w:spacing w:line="240" w:lineRule="auto"/>
      <w:jc w:val="both"/>
    </w:pPr>
    <w:rPr>
      <w:rFonts w:ascii="Times New Roman" w:hAnsi="Times New Roman" w:cs="Times New Roman"/>
      <w:sz w:val="20"/>
      <w:szCs w:val="20"/>
      <w:lang w:eastAsia="ja-JP"/>
    </w:rPr>
  </w:style>
  <w:style w:type="character" w:customStyle="1" w:styleId="CommentTextChar">
    <w:name w:val="Comment Text Char"/>
    <w:basedOn w:val="DefaultParagraphFont"/>
    <w:link w:val="CommentText"/>
    <w:uiPriority w:val="99"/>
    <w:semiHidden/>
    <w:rsid w:val="00C63E6B"/>
    <w:rPr>
      <w:rFonts w:ascii="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63E6B"/>
    <w:rPr>
      <w:b/>
      <w:bCs/>
    </w:rPr>
  </w:style>
  <w:style w:type="character" w:customStyle="1" w:styleId="CommentSubjectChar">
    <w:name w:val="Comment Subject Char"/>
    <w:basedOn w:val="CommentTextChar"/>
    <w:link w:val="CommentSubject"/>
    <w:uiPriority w:val="99"/>
    <w:semiHidden/>
    <w:rsid w:val="00C63E6B"/>
    <w:rPr>
      <w:rFonts w:ascii="Times New Roman" w:hAnsi="Times New Roman" w:cs="Times New Roman"/>
      <w:b/>
      <w:bCs/>
      <w:sz w:val="20"/>
      <w:szCs w:val="20"/>
      <w:lang w:eastAsia="ja-JP"/>
    </w:rPr>
  </w:style>
  <w:style w:type="character" w:styleId="PlaceholderText">
    <w:name w:val="Placeholder Text"/>
    <w:basedOn w:val="DefaultParagraphFont"/>
    <w:uiPriority w:val="99"/>
    <w:semiHidden/>
    <w:rsid w:val="00C63E6B"/>
    <w:rPr>
      <w:color w:val="808080"/>
    </w:rPr>
  </w:style>
  <w:style w:type="paragraph" w:styleId="Revision">
    <w:name w:val="Revision"/>
    <w:hidden/>
    <w:uiPriority w:val="99"/>
    <w:semiHidden/>
    <w:rsid w:val="00B37386"/>
    <w:pPr>
      <w:spacing w:after="0" w:line="240" w:lineRule="auto"/>
    </w:pPr>
  </w:style>
  <w:style w:type="paragraph" w:styleId="PlainText">
    <w:name w:val="Plain Text"/>
    <w:basedOn w:val="Normal"/>
    <w:link w:val="PlainTextChar"/>
    <w:uiPriority w:val="99"/>
    <w:semiHidden/>
    <w:unhideWhenUsed/>
    <w:rsid w:val="001327F9"/>
    <w:pPr>
      <w:spacing w:after="0" w:line="240" w:lineRule="auto"/>
    </w:pPr>
    <w:rPr>
      <w:rFonts w:ascii="Arial" w:eastAsia="Times New Roman" w:hAnsi="Arial"/>
      <w:sz w:val="28"/>
      <w:szCs w:val="21"/>
      <w:lang w:eastAsia="ja-JP"/>
    </w:rPr>
  </w:style>
  <w:style w:type="character" w:customStyle="1" w:styleId="PlainTextChar">
    <w:name w:val="Plain Text Char"/>
    <w:basedOn w:val="DefaultParagraphFont"/>
    <w:link w:val="PlainText"/>
    <w:uiPriority w:val="99"/>
    <w:semiHidden/>
    <w:rsid w:val="001327F9"/>
    <w:rPr>
      <w:rFonts w:ascii="Arial" w:eastAsia="Times New Roman" w:hAnsi="Arial"/>
      <w:sz w:val="28"/>
      <w:szCs w:val="21"/>
      <w:lang w:eastAsia="ja-JP"/>
    </w:rPr>
  </w:style>
  <w:style w:type="paragraph" w:styleId="BodyText">
    <w:name w:val="Body Text"/>
    <w:basedOn w:val="Normal"/>
    <w:link w:val="BodyTextChar"/>
    <w:uiPriority w:val="99"/>
    <w:semiHidden/>
    <w:unhideWhenUsed/>
    <w:rsid w:val="005641A6"/>
    <w:pPr>
      <w:spacing w:after="120"/>
    </w:pPr>
  </w:style>
  <w:style w:type="character" w:customStyle="1" w:styleId="BodyTextChar">
    <w:name w:val="Body Text Char"/>
    <w:basedOn w:val="DefaultParagraphFont"/>
    <w:link w:val="BodyText"/>
    <w:uiPriority w:val="99"/>
    <w:semiHidden/>
    <w:rsid w:val="005641A6"/>
  </w:style>
  <w:style w:type="character" w:customStyle="1" w:styleId="Heading5Char">
    <w:name w:val="Heading 5 Char"/>
    <w:basedOn w:val="DefaultParagraphFont"/>
    <w:link w:val="Heading5"/>
    <w:rsid w:val="005641A6"/>
    <w:rPr>
      <w:rFonts w:ascii="Arial" w:eastAsia="MS Mincho" w:hAnsi="Arial" w:cs="Times New Roman"/>
      <w:b/>
      <w:bCs/>
      <w:spacing w:val="5"/>
      <w:kern w:val="20"/>
      <w:sz w:val="24"/>
      <w:szCs w:val="20"/>
      <w:lang w:eastAsia="en-US"/>
    </w:rPr>
  </w:style>
  <w:style w:type="character" w:customStyle="1" w:styleId="Heading7Char">
    <w:name w:val="Heading 7 Char"/>
    <w:basedOn w:val="DefaultParagraphFont"/>
    <w:link w:val="Heading7"/>
    <w:rsid w:val="005641A6"/>
    <w:rPr>
      <w:rFonts w:ascii="Garamond" w:eastAsia="MS Mincho" w:hAnsi="Garamond" w:cs="Times New Roman"/>
      <w:caps/>
      <w:kern w:val="20"/>
      <w:sz w:val="18"/>
      <w:szCs w:val="24"/>
      <w:lang w:eastAsia="en-US"/>
    </w:rPr>
  </w:style>
  <w:style w:type="character" w:customStyle="1" w:styleId="Heading8Char">
    <w:name w:val="Heading 8 Char"/>
    <w:basedOn w:val="DefaultParagraphFont"/>
    <w:link w:val="Heading8"/>
    <w:rsid w:val="005641A6"/>
    <w:rPr>
      <w:rFonts w:ascii="Garamond" w:eastAsia="MS Mincho" w:hAnsi="Garamond" w:cs="Times New Roman"/>
      <w:i/>
      <w:spacing w:val="5"/>
      <w:kern w:val="20"/>
      <w:sz w:val="24"/>
      <w:szCs w:val="24"/>
      <w:lang w:eastAsia="en-US"/>
    </w:rPr>
  </w:style>
  <w:style w:type="character" w:customStyle="1" w:styleId="Heading9Char">
    <w:name w:val="Heading 9 Char"/>
    <w:basedOn w:val="DefaultParagraphFont"/>
    <w:link w:val="Heading9"/>
    <w:rsid w:val="005641A6"/>
    <w:rPr>
      <w:rFonts w:ascii="Garamond" w:eastAsia="MS Mincho" w:hAnsi="Garamond" w:cs="Times New Roman"/>
      <w:spacing w:val="-5"/>
      <w:kern w:val="20"/>
      <w:sz w:val="24"/>
      <w:szCs w:val="24"/>
      <w:lang w:eastAsia="en-US"/>
    </w:rPr>
  </w:style>
  <w:style w:type="paragraph" w:styleId="Caption">
    <w:name w:val="caption"/>
    <w:basedOn w:val="Normal"/>
    <w:next w:val="Normal"/>
    <w:uiPriority w:val="35"/>
    <w:semiHidden/>
    <w:unhideWhenUsed/>
    <w:qFormat/>
    <w:rsid w:val="009B38B3"/>
    <w:pPr>
      <w:spacing w:line="240" w:lineRule="auto"/>
    </w:pPr>
    <w:rPr>
      <w:b/>
      <w:bCs/>
      <w:color w:val="4F81BD" w:themeColor="accent1"/>
      <w:sz w:val="18"/>
      <w:szCs w:val="18"/>
    </w:rPr>
  </w:style>
  <w:style w:type="paragraph" w:customStyle="1" w:styleId="brAbstractAbsatz1">
    <w:name w:val="br Abstract (Absatz 1)"/>
    <w:basedOn w:val="Normal"/>
    <w:next w:val="Normal"/>
    <w:qFormat/>
    <w:rsid w:val="0014215D"/>
    <w:pPr>
      <w:tabs>
        <w:tab w:val="left" w:pos="8505"/>
      </w:tabs>
      <w:spacing w:after="0"/>
      <w:ind w:left="397" w:right="397"/>
      <w:jc w:val="both"/>
    </w:pPr>
  </w:style>
  <w:style w:type="paragraph" w:customStyle="1" w:styleId="brHaupttextlateinischAbsatz1">
    <w:name w:val="br Haupttext lateinisch (Absatz 1)"/>
    <w:basedOn w:val="Normal"/>
    <w:next w:val="Normal"/>
    <w:qFormat/>
    <w:rsid w:val="00143128"/>
    <w:pPr>
      <w:spacing w:after="0"/>
      <w:jc w:val="both"/>
    </w:pPr>
    <w:rPr>
      <w:sz w:val="24"/>
      <w:szCs w:val="24"/>
    </w:rPr>
  </w:style>
  <w:style w:type="paragraph" w:customStyle="1" w:styleId="brberschriftEbene1mitNummerierungohneEbene2">
    <w:name w:val="br Überschrift Ebene 1 (mit Nummerierung ohne Ebene 2)"/>
    <w:basedOn w:val="Heading2"/>
    <w:next w:val="brHaupttextlateinischAbsatz1"/>
    <w:qFormat/>
    <w:rsid w:val="0053292A"/>
    <w:pPr>
      <w:ind w:left="425" w:hanging="425"/>
      <w:outlineLvl w:val="0"/>
    </w:pPr>
    <w:rPr>
      <w:sz w:val="24"/>
    </w:rPr>
  </w:style>
  <w:style w:type="paragraph" w:customStyle="1" w:styleId="brberschriftEbene2ohneNummerierung">
    <w:name w:val="br Überschrift Ebene 2 (ohne Nummerierung)"/>
    <w:basedOn w:val="Heading2"/>
    <w:next w:val="brHaupttextlateinischAbsatz1"/>
    <w:qFormat/>
    <w:rsid w:val="0053292A"/>
    <w:pPr>
      <w:numPr>
        <w:numId w:val="0"/>
      </w:numPr>
      <w:spacing w:before="240"/>
    </w:pPr>
    <w:rPr>
      <w:sz w:val="24"/>
    </w:rPr>
  </w:style>
  <w:style w:type="paragraph" w:customStyle="1" w:styleId="brHaupttextlateinischAbsatz2">
    <w:name w:val="br Haupttext lateinisch (Absatz 2+)"/>
    <w:basedOn w:val="Normal"/>
    <w:qFormat/>
    <w:rsid w:val="00143128"/>
    <w:pPr>
      <w:spacing w:after="0"/>
      <w:ind w:firstLine="357"/>
      <w:jc w:val="both"/>
    </w:pPr>
    <w:rPr>
      <w:sz w:val="24"/>
      <w:szCs w:val="24"/>
    </w:rPr>
  </w:style>
  <w:style w:type="paragraph" w:customStyle="1" w:styleId="brListeEbene1ohneNummerierungElement1">
    <w:name w:val="br Liste Ebene 1 (ohne Nummerierung Element 1)"/>
    <w:basedOn w:val="Normal"/>
    <w:qFormat/>
    <w:rsid w:val="00653039"/>
    <w:pPr>
      <w:numPr>
        <w:numId w:val="16"/>
      </w:numPr>
      <w:spacing w:before="240" w:after="0"/>
      <w:ind w:left="851" w:hanging="284"/>
      <w:contextualSpacing/>
      <w:jc w:val="both"/>
    </w:pPr>
    <w:rPr>
      <w:rFonts w:cs="Arial"/>
      <w:szCs w:val="24"/>
      <w:lang w:eastAsia="ja-JP"/>
    </w:rPr>
  </w:style>
  <w:style w:type="paragraph" w:customStyle="1" w:styleId="brListeEbene1ohneNummerierungElement2">
    <w:name w:val="br Liste Ebene 1 (ohne Nummerierung Element 2+)"/>
    <w:basedOn w:val="Normal"/>
    <w:next w:val="Normal"/>
    <w:qFormat/>
    <w:rsid w:val="00BA5C22"/>
    <w:pPr>
      <w:numPr>
        <w:numId w:val="24"/>
      </w:numPr>
      <w:spacing w:after="0"/>
      <w:ind w:left="851" w:hanging="284"/>
      <w:contextualSpacing/>
      <w:jc w:val="both"/>
    </w:pPr>
    <w:rPr>
      <w:rFonts w:cs="Arial"/>
      <w:szCs w:val="24"/>
      <w:lang w:eastAsia="ja-JP"/>
    </w:rPr>
  </w:style>
  <w:style w:type="paragraph" w:customStyle="1" w:styleId="brListeEbene2ohneNummerierung">
    <w:name w:val="br Liste Ebene 2 (ohne Nummerierung)"/>
    <w:basedOn w:val="Normal"/>
    <w:next w:val="brHaupttextlateinischAbsatz1"/>
    <w:qFormat/>
    <w:rsid w:val="00653039"/>
    <w:pPr>
      <w:numPr>
        <w:numId w:val="20"/>
      </w:numPr>
      <w:spacing w:after="0"/>
      <w:ind w:left="1135" w:hanging="284"/>
      <w:contextualSpacing/>
      <w:jc w:val="both"/>
    </w:pPr>
    <w:rPr>
      <w:rFonts w:cs="Arial"/>
      <w:szCs w:val="24"/>
      <w:lang w:eastAsia="ja-JP"/>
    </w:rPr>
  </w:style>
  <w:style w:type="paragraph" w:customStyle="1" w:styleId="brAbstractAbsatz2">
    <w:name w:val="br Abstract (Absatz 2+)"/>
    <w:basedOn w:val="Normal"/>
    <w:qFormat/>
    <w:rsid w:val="00400525"/>
    <w:pPr>
      <w:spacing w:after="0"/>
      <w:ind w:left="397" w:right="397" w:firstLine="284"/>
      <w:jc w:val="both"/>
    </w:pPr>
  </w:style>
  <w:style w:type="paragraph" w:customStyle="1" w:styleId="brberschriftEbene2mitNummerierung">
    <w:name w:val="br Überschrift Ebene 2 (mit Nummerierung)"/>
    <w:basedOn w:val="brHaupttextlateinischAbsatz1"/>
    <w:rsid w:val="00AC3ADB"/>
    <w:pPr>
      <w:numPr>
        <w:ilvl w:val="1"/>
        <w:numId w:val="15"/>
      </w:numPr>
      <w:spacing w:before="240" w:after="240" w:line="360" w:lineRule="auto"/>
      <w:ind w:left="567" w:hanging="567"/>
      <w:outlineLvl w:val="1"/>
    </w:pPr>
    <w:rPr>
      <w:b/>
      <w:lang w:eastAsia="ja-JP"/>
    </w:rPr>
  </w:style>
  <w:style w:type="paragraph" w:customStyle="1" w:styleId="brberschriftEbene1mitNummerierungmitEbene2">
    <w:name w:val="br Überschrift Ebene 1 (mit Nummerierung mit Ebene 2)"/>
    <w:basedOn w:val="brberschriftEbene1mitNummerierungohneEbene2"/>
    <w:qFormat/>
    <w:rsid w:val="0053292A"/>
    <w:pPr>
      <w:tabs>
        <w:tab w:val="clear" w:pos="426"/>
      </w:tabs>
      <w:ind w:left="567" w:hanging="567"/>
    </w:pPr>
  </w:style>
  <w:style w:type="paragraph" w:customStyle="1" w:styleId="brListeEbene1mitNummerierungElement2">
    <w:name w:val="br Liste Ebene 1 (mit Nummerierung Element 2+)"/>
    <w:basedOn w:val="brListeEbene1mitNummerierungElement1"/>
    <w:rsid w:val="0087326E"/>
    <w:pPr>
      <w:spacing w:before="0"/>
    </w:pPr>
  </w:style>
  <w:style w:type="paragraph" w:customStyle="1" w:styleId="brListeEbene1mitNummerierungletztesElement">
    <w:name w:val="br Liste Ebene 1 (mit Nummerierung letztes Element)"/>
    <w:basedOn w:val="brListeEbene1mitNummerierungElement1"/>
    <w:rsid w:val="00BA5C22"/>
    <w:pPr>
      <w:spacing w:before="0" w:after="240"/>
      <w:ind w:left="1352" w:hanging="360"/>
    </w:pPr>
  </w:style>
  <w:style w:type="character" w:styleId="Hyperlink">
    <w:name w:val="Hyperlink"/>
    <w:basedOn w:val="DefaultParagraphFont"/>
    <w:uiPriority w:val="99"/>
    <w:unhideWhenUsed/>
    <w:rsid w:val="00152384"/>
    <w:rPr>
      <w:color w:val="0000FF" w:themeColor="hyperlink"/>
      <w:u w:val="single"/>
    </w:rPr>
  </w:style>
  <w:style w:type="paragraph" w:customStyle="1" w:styleId="brReferencelistentry">
    <w:name w:val="br Reference list entry"/>
    <w:basedOn w:val="Normal"/>
    <w:rsid w:val="0053292A"/>
    <w:pPr>
      <w:spacing w:after="0" w:line="240" w:lineRule="auto"/>
      <w:ind w:left="567" w:hanging="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McCune-Reischau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006C-1519-49D6-998C-D795222C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1644</Words>
  <Characters>10363</Characters>
  <Application>Microsoft Office Word</Application>
  <DocSecurity>0</DocSecurity>
  <Lines>86</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Henker, Susann</dc:creator>
  <cp:lastModifiedBy>Arokay, Judit</cp:lastModifiedBy>
  <cp:revision>2</cp:revision>
  <cp:lastPrinted>2014-04-26T11:53:00Z</cp:lastPrinted>
  <dcterms:created xsi:type="dcterms:W3CDTF">2021-06-10T10:56:00Z</dcterms:created>
  <dcterms:modified xsi:type="dcterms:W3CDTF">2021-06-10T10:56:00Z</dcterms:modified>
</cp:coreProperties>
</file>